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bCs/>
          <w:snapToGrid w:val="0"/>
          <w:color w:val="000000"/>
          <w:sz w:val="28"/>
          <w:szCs w:val="28"/>
          <w:highlight w:val="none"/>
          <w:lang w:val="en-US" w:eastAsia="zh-CN"/>
        </w:rPr>
        <w:t>20240167</w:t>
      </w: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bookmarkStart w:id="2" w:name="_GoBack"/>
      <w:bookmarkEnd w:id="2"/>
    </w:p>
    <w:p>
      <w:pPr>
        <w:tabs>
          <w:tab w:val="left" w:pos="8280"/>
        </w:tabs>
        <w:spacing w:line="480" w:lineRule="auto"/>
        <w:rPr>
          <w:rFonts w:hint="eastAsia" w:ascii="仿宋_GB2312" w:hAnsi="仿宋_GB2312" w:eastAsia="仿宋_GB2312" w:cs="仿宋_GB2312"/>
          <w:b/>
          <w:color w:val="000000"/>
          <w:sz w:val="28"/>
          <w:szCs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w:t>
      </w:r>
      <w:r>
        <w:rPr>
          <w:rFonts w:hint="eastAsia" w:ascii="仿宋_GB2312" w:hAnsi="仿宋_GB2312" w:eastAsia="仿宋_GB2312" w:cs="仿宋_GB2312"/>
          <w:color w:val="000000"/>
          <w:sz w:val="44"/>
          <w:szCs w:val="44"/>
          <w:highlight w:val="none"/>
          <w:lang w:val="en-US" w:eastAsia="zh-CN"/>
        </w:rPr>
        <w:t>文件</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both"/>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28"/>
          <w:szCs w:val="28"/>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bCs w:val="0"/>
          <w:snapToGrid w:val="0"/>
          <w:color w:val="000000"/>
          <w:sz w:val="28"/>
          <w:szCs w:val="28"/>
          <w:highlight w:val="none"/>
        </w:rPr>
      </w:pPr>
      <w:r>
        <w:rPr>
          <w:rFonts w:hint="eastAsia" w:ascii="仿宋_GB2312" w:hAnsi="仿宋_GB2312" w:eastAsia="仿宋_GB2312" w:cs="仿宋_GB2312"/>
          <w:b/>
          <w:bCs w:val="0"/>
          <w:snapToGrid w:val="0"/>
          <w:color w:val="000000"/>
          <w:sz w:val="28"/>
          <w:szCs w:val="28"/>
          <w:highlight w:val="none"/>
          <w:lang w:val="en-US" w:eastAsia="zh-CN"/>
        </w:rPr>
        <w:t>2024</w:t>
      </w:r>
      <w:r>
        <w:rPr>
          <w:rFonts w:hint="eastAsia" w:ascii="仿宋_GB2312" w:hAnsi="仿宋_GB2312" w:eastAsia="仿宋_GB2312" w:cs="仿宋_GB2312"/>
          <w:b/>
          <w:bCs w:val="0"/>
          <w:snapToGrid w:val="0"/>
          <w:color w:val="000000"/>
          <w:sz w:val="28"/>
          <w:szCs w:val="28"/>
          <w:highlight w:val="none"/>
          <w:lang w:eastAsia="zh-CN"/>
        </w:rPr>
        <w:t>年</w:t>
      </w:r>
      <w:r>
        <w:rPr>
          <w:rFonts w:hint="eastAsia" w:ascii="仿宋_GB2312" w:hAnsi="仿宋_GB2312" w:eastAsia="仿宋_GB2312" w:cs="仿宋_GB2312"/>
          <w:b/>
          <w:bCs w:val="0"/>
          <w:snapToGrid w:val="0"/>
          <w:color w:val="000000"/>
          <w:sz w:val="28"/>
          <w:szCs w:val="28"/>
          <w:highlight w:val="none"/>
          <w:lang w:val="en-US" w:eastAsia="zh-CN"/>
        </w:rPr>
        <w:t>7</w:t>
      </w:r>
      <w:r>
        <w:rPr>
          <w:rFonts w:hint="eastAsia" w:ascii="仿宋_GB2312" w:hAnsi="仿宋_GB2312" w:eastAsia="仿宋_GB2312" w:cs="仿宋_GB2312"/>
          <w:b/>
          <w:bCs w:val="0"/>
          <w:snapToGrid w:val="0"/>
          <w:color w:val="000000"/>
          <w:sz w:val="28"/>
          <w:szCs w:val="28"/>
          <w:highlight w:val="none"/>
        </w:rPr>
        <w:t>月</w:t>
      </w:r>
      <w:r>
        <w:rPr>
          <w:rFonts w:hint="eastAsia" w:ascii="仿宋_GB2312" w:hAnsi="仿宋_GB2312" w:eastAsia="仿宋_GB2312" w:cs="仿宋_GB2312"/>
          <w:b/>
          <w:bCs w:val="0"/>
          <w:snapToGrid w:val="0"/>
          <w:color w:val="000000"/>
          <w:sz w:val="28"/>
          <w:szCs w:val="28"/>
          <w:highlight w:val="none"/>
          <w:lang w:val="en-US" w:eastAsia="zh-CN"/>
        </w:rPr>
        <w:t>25</w:t>
      </w:r>
      <w:r>
        <w:rPr>
          <w:rFonts w:hint="eastAsia" w:ascii="仿宋_GB2312" w:hAnsi="仿宋_GB2312" w:eastAsia="仿宋_GB2312" w:cs="仿宋_GB2312"/>
          <w:b/>
          <w:bCs w:val="0"/>
          <w:snapToGrid w:val="0"/>
          <w:color w:val="000000"/>
          <w:sz w:val="28"/>
          <w:szCs w:val="28"/>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28"/>
          <w:szCs w:val="28"/>
          <w:highlight w:val="none"/>
        </w:rPr>
        <w:br w:type="page"/>
      </w:r>
      <w:r>
        <w:rPr>
          <w:rFonts w:hint="eastAsia" w:ascii="仿宋_GB2312" w:hAnsi="仿宋_GB2312" w:eastAsia="仿宋_GB2312" w:cs="仿宋_GB2312"/>
          <w:b/>
          <w:bCs/>
          <w:snapToGrid w:val="0"/>
          <w:color w:val="000000"/>
          <w:sz w:val="32"/>
          <w:szCs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28"/>
          <w:szCs w:val="28"/>
          <w:highlight w:val="none"/>
        </w:rPr>
      </w:pPr>
    </w:p>
    <w:p>
      <w:pPr>
        <w:widowControl/>
        <w:wordWrap/>
        <w:autoSpaceDE/>
        <w:autoSpaceDN/>
        <w:adjustRightInd/>
        <w:spacing w:line="240" w:lineRule="auto"/>
        <w:ind w:firstLine="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本招标文件专用于江苏常熟农村商业银行股份有限公司本次“</w:t>
      </w:r>
      <w:r>
        <w:rPr>
          <w:rFonts w:hint="eastAsia" w:ascii="仿宋_GB2312" w:hAnsi="仿宋_GB2312" w:eastAsia="仿宋_GB2312" w:cs="仿宋_GB2312"/>
          <w:b w:val="0"/>
          <w:color w:val="auto"/>
          <w:kern w:val="0"/>
          <w:sz w:val="28"/>
          <w:szCs w:val="28"/>
          <w:highlight w:val="none"/>
          <w:shd w:val="clear" w:fill="FFFFFF"/>
          <w:lang w:val="en-US" w:eastAsia="zh-CN" w:bidi="ar"/>
        </w:rPr>
        <w:t>MPaaS维保采购项目</w:t>
      </w:r>
      <w:r>
        <w:rPr>
          <w:rFonts w:hint="eastAsia" w:ascii="仿宋_GB2312" w:hAnsi="仿宋_GB2312" w:eastAsia="仿宋_GB2312" w:cs="仿宋_GB2312"/>
          <w:snapToGrid w:val="0"/>
          <w:color w:val="000000"/>
          <w:sz w:val="28"/>
          <w:szCs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snapToGrid w:val="0"/>
          <w:sz w:val="28"/>
          <w:szCs w:val="28"/>
          <w:highlight w:val="none"/>
        </w:rPr>
        <w:t>第一部分</w:t>
      </w:r>
      <w:r>
        <w:rPr>
          <w:rFonts w:hint="eastAsia" w:ascii="仿宋_GB2312" w:hAnsi="仿宋_GB2312" w:eastAsia="仿宋_GB2312" w:cs="仿宋_GB2312"/>
          <w:b/>
          <w:snapToGrid w:val="0"/>
          <w:sz w:val="28"/>
          <w:szCs w:val="28"/>
          <w:highlight w:val="none"/>
          <w:lang w:val="en-US" w:eastAsia="zh-CN"/>
        </w:rPr>
        <w:t xml:space="preserve">  </w:t>
      </w:r>
      <w:r>
        <w:rPr>
          <w:rFonts w:hint="eastAsia" w:ascii="仿宋_GB2312" w:hAnsi="仿宋_GB2312" w:eastAsia="仿宋_GB2312" w:cs="仿宋_GB2312"/>
          <w:b/>
          <w:snapToGrid w:val="0"/>
          <w:sz w:val="28"/>
          <w:szCs w:val="28"/>
          <w:highlight w:val="none"/>
        </w:rPr>
        <w:t>投标</w:t>
      </w:r>
      <w:bookmarkStart w:id="0" w:name="投标邀请函"/>
      <w:bookmarkEnd w:id="0"/>
      <w:r>
        <w:rPr>
          <w:rFonts w:hint="eastAsia" w:ascii="仿宋_GB2312" w:hAnsi="仿宋_GB2312" w:eastAsia="仿宋_GB2312" w:cs="仿宋_GB2312"/>
          <w:b/>
          <w:snapToGrid w:val="0"/>
          <w:sz w:val="28"/>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根据江苏常熟农村商业银行股份有限公司业务发展需求，现就</w:t>
      </w:r>
      <w:r>
        <w:rPr>
          <w:rFonts w:hint="eastAsia" w:ascii="仿宋_GB2312" w:hAnsi="仿宋_GB2312" w:eastAsia="仿宋_GB2312" w:cs="仿宋_GB2312"/>
          <w:snapToGrid w:val="0"/>
          <w:color w:val="000000"/>
          <w:sz w:val="28"/>
          <w:szCs w:val="28"/>
          <w:highlight w:val="none"/>
          <w:lang w:eastAsia="zh-CN"/>
        </w:rPr>
        <w:t>我行</w:t>
      </w:r>
      <w:r>
        <w:rPr>
          <w:rFonts w:hint="eastAsia" w:ascii="仿宋_GB2312" w:hAnsi="仿宋_GB2312" w:eastAsia="仿宋_GB2312" w:cs="仿宋_GB2312"/>
          <w:snapToGrid w:val="0"/>
          <w:color w:val="auto"/>
          <w:sz w:val="28"/>
          <w:szCs w:val="28"/>
          <w:highlight w:val="none"/>
        </w:rPr>
        <w:t>“</w:t>
      </w:r>
      <w:r>
        <w:rPr>
          <w:rFonts w:hint="eastAsia" w:ascii="仿宋_GB2312" w:hAnsi="仿宋_GB2312" w:eastAsia="仿宋_GB2312" w:cs="仿宋_GB2312"/>
          <w:b w:val="0"/>
          <w:color w:val="auto"/>
          <w:kern w:val="0"/>
          <w:sz w:val="28"/>
          <w:szCs w:val="28"/>
          <w:highlight w:val="none"/>
          <w:shd w:val="clear" w:fill="FFFFFF"/>
          <w:lang w:val="en-US" w:eastAsia="zh-CN" w:bidi="ar"/>
        </w:rPr>
        <w:t>MPaaS维保采购项目</w:t>
      </w:r>
      <w:r>
        <w:rPr>
          <w:rFonts w:hint="eastAsia" w:ascii="仿宋_GB2312" w:hAnsi="仿宋_GB2312" w:eastAsia="仿宋_GB2312" w:cs="仿宋_GB2312"/>
          <w:snapToGrid w:val="0"/>
          <w:color w:val="auto"/>
          <w:sz w:val="28"/>
          <w:szCs w:val="28"/>
          <w:highlight w:val="none"/>
        </w:rPr>
        <w:t>”</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20240167</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szCs w:val="28"/>
          <w:highlight w:val="none"/>
        </w:rPr>
        <w:t>江苏常熟农村商业银行股份有限公司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color w:val="000000"/>
          <w:sz w:val="28"/>
          <w:szCs w:val="28"/>
          <w:highlight w:val="none"/>
          <w:lang w:val="en-US" w:eastAsia="zh-CN"/>
        </w:rPr>
        <w:t>江苏省苏州市苏州工业园区直属镇东长路88号</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08</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02</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08</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21</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Chars="0" w:right="0" w:rightChars="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w:t>
      </w:r>
      <w:r>
        <w:rPr>
          <w:rFonts w:hint="eastAsia" w:ascii="仿宋_GB2312" w:hAnsi="仿宋_GB2312" w:eastAsia="仿宋_GB2312" w:cs="仿宋_GB2312"/>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项目</w:t>
      </w:r>
      <w:r>
        <w:rPr>
          <w:rFonts w:hint="eastAsia" w:ascii="仿宋_GB2312" w:hAnsi="仿宋_GB2312" w:eastAsia="仿宋_GB2312" w:cs="仿宋_GB2312"/>
          <w:kern w:val="0"/>
          <w:sz w:val="28"/>
          <w:szCs w:val="28"/>
          <w:highlight w:val="none"/>
        </w:rPr>
        <w:t>联系人：</w:t>
      </w:r>
      <w:r>
        <w:rPr>
          <w:rFonts w:hint="eastAsia" w:ascii="仿宋_GB2312" w:hAnsi="仿宋_GB2312" w:eastAsia="仿宋_GB2312" w:cs="仿宋_GB2312"/>
          <w:kern w:val="0"/>
          <w:sz w:val="28"/>
          <w:szCs w:val="28"/>
          <w:highlight w:val="none"/>
          <w:lang w:val="en-US" w:eastAsia="zh-CN"/>
        </w:rPr>
        <w:t>张鹏华</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lang w:val="en-US" w:eastAsia="zh-CN"/>
        </w:rPr>
        <w:t>18606206738</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投标联系人</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i w:val="0"/>
          <w:iCs w:val="0"/>
          <w:snapToGrid w:val="0"/>
          <w:color w:val="000000"/>
          <w:sz w:val="28"/>
          <w:szCs w:val="28"/>
          <w:highlight w:val="none"/>
          <w:lang w:eastAsia="zh-CN"/>
        </w:rPr>
      </w:pPr>
      <w:r>
        <w:rPr>
          <w:rFonts w:hint="eastAsia" w:ascii="仿宋_GB2312" w:hAnsi="仿宋_GB2312" w:eastAsia="仿宋_GB2312" w:cs="仿宋_GB2312"/>
          <w:kern w:val="0"/>
          <w:sz w:val="28"/>
          <w:szCs w:val="28"/>
          <w:highlight w:val="none"/>
        </w:rPr>
        <w:t>电话号码：0512-52739210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color w:val="000000"/>
          <w:sz w:val="28"/>
          <w:szCs w:val="28"/>
          <w:highlight w:val="none"/>
          <w:lang w:eastAsia="zh-CN"/>
        </w:rPr>
      </w:pPr>
    </w:p>
    <w:p>
      <w:pPr>
        <w:autoSpaceDE w:val="0"/>
        <w:autoSpaceDN w:val="0"/>
        <w:adjustRightInd w:val="0"/>
        <w:spacing w:after="240" w:line="560" w:lineRule="atLeast"/>
        <w:ind w:firstLine="624"/>
        <w:jc w:val="righ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lang w:eastAsia="zh-CN"/>
        </w:rPr>
        <w:t>MPaaS维保采购项目</w:t>
      </w:r>
      <w:r>
        <w:rPr>
          <w:rFonts w:hint="eastAsia" w:ascii="仿宋_GB2312" w:hAnsi="仿宋_GB2312" w:eastAsia="仿宋_GB2312" w:cs="仿宋_GB2312"/>
          <w:snapToGrid w:val="0"/>
          <w:color w:val="000000"/>
          <w:sz w:val="28"/>
          <w:szCs w:val="28"/>
          <w:highlight w:val="none"/>
        </w:rPr>
        <w:t>”而进行的公开</w:t>
      </w:r>
      <w:r>
        <w:rPr>
          <w:rFonts w:hint="eastAsia" w:ascii="仿宋_GB2312" w:hAnsi="仿宋_GB2312" w:eastAsia="仿宋_GB2312" w:cs="仿宋_GB2312"/>
          <w:snapToGrid w:val="0"/>
          <w:color w:val="000000"/>
          <w:sz w:val="28"/>
          <w:szCs w:val="28"/>
          <w:highlight w:val="none"/>
          <w:lang w:val="en-US" w:eastAsia="zh-CN"/>
        </w:rPr>
        <w:t>招标</w:t>
      </w:r>
      <w:r>
        <w:rPr>
          <w:rFonts w:hint="eastAsia" w:ascii="仿宋_GB2312" w:hAnsi="仿宋_GB2312" w:eastAsia="仿宋_GB2312" w:cs="仿宋_GB2312"/>
          <w:snapToGrid w:val="0"/>
          <w:color w:val="000000"/>
          <w:sz w:val="28"/>
          <w:szCs w:val="28"/>
          <w:highlight w:val="none"/>
        </w:rPr>
        <w:t>。</w:t>
      </w:r>
    </w:p>
    <w:p>
      <w:pPr>
        <w:pStyle w:val="4"/>
        <w:numPr>
          <w:ilvl w:val="0"/>
          <w:numId w:val="3"/>
        </w:numPr>
        <w:spacing w:line="240" w:lineRule="auto"/>
        <w:ind w:firstLine="420" w:firstLineChars="0"/>
        <w:jc w:val="both"/>
        <w:rPr>
          <w:rFonts w:hint="eastAsia" w:ascii="仿宋_GB2312" w:hAnsi="仿宋_GB2312" w:eastAsia="仿宋_GB2312" w:cs="仿宋_GB2312"/>
          <w:b w:val="0"/>
          <w:bCs/>
          <w:snapToGrid w:val="0"/>
          <w:sz w:val="28"/>
          <w:szCs w:val="28"/>
          <w:highlight w:val="none"/>
        </w:rPr>
      </w:pPr>
      <w:r>
        <w:rPr>
          <w:rFonts w:hint="eastAsia" w:ascii="仿宋_GB2312" w:hAnsi="仿宋_GB2312" w:eastAsia="仿宋_GB2312" w:cs="仿宋_GB2312"/>
          <w:b w:val="0"/>
          <w:bCs/>
          <w:snapToGrid w:val="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投标文件未送达指定地点，指定接收人。</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投标人必须为具有独立企业法人资格，具有合法名称、组织机构、固定的办公场所，且具有良好的技术力量、商业信誉和售后服务体系的设备（系统）分销商、厂商。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投标人必须具有良好的经济和技术实力，能够按时提交招标人要求的交付件，并能够及时地提供招标人要求的优质服务</w:t>
      </w:r>
      <w:r>
        <w:rPr>
          <w:rFonts w:hint="eastAsia" w:ascii="仿宋_GB2312" w:hAnsi="仿宋_GB2312" w:eastAsia="仿宋_GB2312" w:cs="仿宋_GB2312"/>
          <w:snapToGrid w:val="0"/>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采购人提出人员需求后5日之内能安排人员上岗，上岗人员需经过基础培训并且通过采购人考核要求</w:t>
      </w:r>
      <w:r>
        <w:rPr>
          <w:rFonts w:hint="eastAsia" w:ascii="仿宋_GB2312" w:hAnsi="仿宋_GB2312" w:eastAsia="仿宋_GB2312" w:cs="仿宋_GB2312"/>
          <w:snapToGrid w:val="0"/>
          <w:color w:val="auto"/>
          <w:sz w:val="28"/>
          <w:szCs w:val="28"/>
          <w:highlight w:val="none"/>
        </w:rPr>
        <w:t>。</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可对已发出的招标文件进行必要的澄清或修改，并将在指定网站上发布更正公告。各投标人应在投标截止时间前关注本招标公告网站上更正公告栏，按规定获取相关信息内容，否则其投标风险由投标人承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招标单位对招标文件作出了澄清、修改的，澄清、修改内容自招标单位发布更正公告发布之时发生效力，有关澄清或者修改的内容为招标文件的组成部分，对所有招标文件收受人均具有约束力。</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投标人一旦参加投标，即被认为接受了本招标文件中的所有内容和规定。</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投标人应自行承担与参加投标有关的全部费用，招标人在任何情况下无义务和责任承担上述费用。</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投标文件说明</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除非有特殊要求，招标文件不单独提供招标设备（系统）或服务使用地的自然环境、气候条件、公用设施等情况，投标人被视为熟悉上述情况。</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必须按照本招标文件要求制作</w:t>
      </w:r>
      <w:r>
        <w:rPr>
          <w:rFonts w:hint="eastAsia" w:ascii="仿宋_GB2312" w:hAnsi="仿宋_GB2312" w:eastAsia="仿宋_GB2312" w:cs="仿宋_GB2312"/>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1</w:t>
      </w:r>
      <w:r>
        <w:rPr>
          <w:rFonts w:hint="eastAsia" w:ascii="仿宋_GB2312" w:hAnsi="仿宋_GB2312" w:eastAsia="仿宋_GB2312" w:cs="仿宋_GB2312"/>
          <w:b/>
          <w:bCs/>
          <w:snapToGrid w:val="0"/>
          <w:sz w:val="28"/>
          <w:szCs w:val="28"/>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rPr>
      </w:pPr>
      <w:r>
        <w:rPr>
          <w:rFonts w:hint="eastAsia" w:ascii="仿宋_GB2312" w:hAnsi="仿宋_GB2312" w:eastAsia="仿宋_GB2312" w:cs="仿宋_GB2312"/>
          <w:snapToGrid w:val="0"/>
          <w:sz w:val="24"/>
          <w:szCs w:val="24"/>
          <w:highlight w:val="none"/>
          <w:lang w:eastAsia="zh-CN"/>
        </w:rPr>
        <w:t>说明：</w:t>
      </w:r>
      <w:r>
        <w:rPr>
          <w:rFonts w:hint="eastAsia" w:ascii="仿宋_GB2312" w:hAnsi="仿宋_GB2312" w:eastAsia="仿宋_GB2312" w:cs="仿宋_GB2312"/>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2：</w:t>
      </w:r>
      <w:r>
        <w:rPr>
          <w:rFonts w:hint="eastAsia" w:ascii="仿宋_GB2312" w:hAnsi="仿宋_GB2312" w:eastAsia="仿宋_GB2312" w:cs="仿宋_GB2312"/>
          <w:b/>
          <w:bCs/>
          <w:snapToGrid w:val="0"/>
          <w:sz w:val="28"/>
          <w:szCs w:val="28"/>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（4）项目进度和质量保障方案。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（5）项目风险评估与控制方案。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Hans"/>
        </w:rPr>
        <w:t>（6）</w:t>
      </w:r>
      <w:r>
        <w:rPr>
          <w:rFonts w:hint="eastAsia" w:ascii="仿宋_GB2312" w:hAnsi="仿宋_GB2312" w:eastAsia="仿宋_GB2312" w:cs="仿宋_GB2312"/>
          <w:snapToGrid w:val="0"/>
          <w:sz w:val="24"/>
          <w:szCs w:val="24"/>
          <w:highlight w:val="none"/>
          <w:lang w:val="en-US" w:eastAsia="zh-CN"/>
        </w:rPr>
        <w:t>售后服务与支持</w:t>
      </w:r>
      <w:r>
        <w:rPr>
          <w:rFonts w:hint="eastAsia" w:ascii="仿宋_GB2312" w:hAnsi="仿宋_GB2312" w:eastAsia="仿宋_GB2312" w:cs="仿宋_GB2312"/>
          <w:snapToGrid w:val="0"/>
          <w:sz w:val="24"/>
          <w:szCs w:val="24"/>
          <w:highlight w:val="none"/>
          <w:lang w:val="en-US" w:eastAsia="zh-Hans"/>
        </w:rPr>
        <w:t>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w:t>
      </w:r>
      <w:r>
        <w:rPr>
          <w:rFonts w:hint="eastAsia" w:ascii="仿宋_GB2312" w:hAnsi="仿宋_GB2312" w:eastAsia="仿宋_GB2312" w:cs="仿宋_GB2312"/>
          <w:snapToGrid w:val="0"/>
          <w:sz w:val="24"/>
          <w:szCs w:val="24"/>
          <w:highlight w:val="none"/>
        </w:rPr>
        <w:t>（以加盖公章的合同复印件为准）</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附件11:投标人信用信息查询说明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说明：投标人提供</w:t>
      </w:r>
      <w:r>
        <w:rPr>
          <w:rFonts w:hint="eastAsia" w:ascii="仿宋_GB2312" w:hAnsi="仿宋_GB2312" w:eastAsia="仿宋_GB2312" w:cs="仿宋_GB2312"/>
          <w:snapToGrid w:val="0"/>
          <w:sz w:val="24"/>
          <w:szCs w:val="24"/>
          <w:highlight w:val="none"/>
          <w:lang w:eastAsia="zh-CN"/>
        </w:rPr>
        <w:t>信用信息查询渠道及截止时间、信用信息查询记录和证据留存的具体方式、信用信息的使用规则等，</w:t>
      </w:r>
      <w:r>
        <w:rPr>
          <w:rFonts w:hint="eastAsia" w:ascii="仿宋_GB2312" w:hAnsi="仿宋_GB2312" w:eastAsia="仿宋_GB2312" w:cs="仿宋_GB2312"/>
          <w:snapToGrid w:val="0"/>
          <w:sz w:val="24"/>
          <w:szCs w:val="24"/>
          <w:highlight w:val="none"/>
          <w:lang w:val="en-US" w:eastAsia="zh-CN"/>
        </w:rPr>
        <w:t>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附件12：偏离表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rPr>
        <w:t>投标人应对招标文件中规定的商务及技术部分</w:t>
      </w:r>
      <w:r>
        <w:rPr>
          <w:rFonts w:hint="eastAsia" w:ascii="仿宋_GB2312" w:hAnsi="仿宋_GB2312" w:eastAsia="仿宋_GB2312" w:cs="仿宋_GB2312"/>
          <w:snapToGrid w:val="0"/>
          <w:sz w:val="24"/>
          <w:szCs w:val="24"/>
          <w:highlight w:val="none"/>
          <w:lang w:val="en-US" w:eastAsia="zh-CN"/>
        </w:rPr>
        <w:t>相关</w:t>
      </w:r>
      <w:r>
        <w:rPr>
          <w:rFonts w:hint="eastAsia" w:ascii="仿宋_GB2312" w:hAnsi="仿宋_GB2312" w:eastAsia="仿宋_GB2312" w:cs="仿宋_GB2312"/>
          <w:snapToGrid w:val="0"/>
          <w:sz w:val="24"/>
          <w:szCs w:val="24"/>
          <w:highlight w:val="none"/>
        </w:rPr>
        <w:t>条款的异议逐条提出或根据</w:t>
      </w:r>
      <w:r>
        <w:rPr>
          <w:rFonts w:hint="eastAsia" w:ascii="仿宋_GB2312" w:hAnsi="仿宋_GB2312" w:eastAsia="仿宋_GB2312" w:cs="仿宋_GB2312"/>
          <w:snapToGrid w:val="0"/>
          <w:sz w:val="24"/>
          <w:szCs w:val="24"/>
          <w:highlight w:val="none"/>
          <w:lang w:val="en-US" w:eastAsia="zh-CN"/>
        </w:rPr>
        <w:t>附件</w:t>
      </w:r>
      <w:r>
        <w:rPr>
          <w:rFonts w:hint="eastAsia" w:ascii="仿宋_GB2312" w:hAnsi="仿宋_GB2312" w:eastAsia="仿宋_GB2312" w:cs="仿宋_GB2312"/>
          <w:snapToGrid w:val="0"/>
          <w:sz w:val="24"/>
          <w:szCs w:val="24"/>
          <w:highlight w:val="none"/>
        </w:rPr>
        <w:t>格式提出偏离</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附件13：其他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说明：投标人自愿提供的其他全部文件。</w:t>
      </w:r>
    </w:p>
    <w:p>
      <w:pPr>
        <w:pStyle w:val="4"/>
        <w:numPr>
          <w:ilvl w:val="0"/>
          <w:numId w:val="7"/>
        </w:numPr>
        <w:ind w:firstLine="420" w:firstLineChars="0"/>
        <w:jc w:val="both"/>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bCs/>
          <w:snapToGrid/>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投标人应准备一份正本，两份副本。在每一份投标文件上要明确注明“正本”或“副本”字样，若正本和副本有差异以正本为准。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投标文件的递交</w:t>
      </w:r>
    </w:p>
    <w:p>
      <w:pPr>
        <w:pStyle w:val="4"/>
        <w:numPr>
          <w:ilvl w:val="0"/>
          <w:numId w:val="10"/>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投标人应将投标文件的正本和副本分别用非透明文件袋密封，在封签处加盖公章，并标明投标人名称、正本或副本、招标编号</w:t>
      </w:r>
      <w:r>
        <w:rPr>
          <w:rFonts w:hint="eastAsia" w:ascii="仿宋_GB2312" w:hAnsi="仿宋_GB2312" w:eastAsia="仿宋_GB2312" w:cs="仿宋_GB2312"/>
          <w:snapToGrid w:val="0"/>
          <w:color w:val="000000"/>
          <w:kern w:val="2"/>
          <w:sz w:val="28"/>
          <w:szCs w:val="28"/>
          <w:highlight w:val="none"/>
          <w:lang w:val="en-US" w:eastAsia="zh-CN" w:bidi="ar-SA"/>
        </w:rPr>
        <w:t>、投标标段、联系方式（手机号）、邮箱</w:t>
      </w:r>
      <w:r>
        <w:rPr>
          <w:rFonts w:hint="eastAsia" w:ascii="仿宋_GB2312" w:hAnsi="仿宋_GB2312" w:eastAsia="仿宋_GB2312" w:cs="仿宋_GB2312"/>
          <w:snapToGrid w:val="0"/>
          <w:color w:val="000000"/>
          <w:sz w:val="28"/>
          <w:szCs w:val="28"/>
          <w:highlight w:val="none"/>
        </w:rPr>
        <w:t>。</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投标文件须标注页码：封面后的第一页为标书的目录，整本标书须标注统一的页码，成功案例合同等复印件可以手工填上统一的页码。</w:t>
      </w:r>
    </w:p>
    <w:p>
      <w:pPr>
        <w:pStyle w:val="4"/>
        <w:numPr>
          <w:ilvl w:val="0"/>
          <w:numId w:val="10"/>
        </w:numPr>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highlight w:val="none"/>
          <w:u w:val="none"/>
          <w:lang w:eastAsia="zh-CN"/>
        </w:rPr>
      </w:pPr>
      <w:r>
        <w:rPr>
          <w:rFonts w:hint="eastAsia" w:ascii="仿宋_GB2312" w:hAnsi="仿宋_GB2312" w:eastAsia="仿宋_GB2312" w:cs="仿宋_GB2312"/>
          <w:snapToGrid w:val="0"/>
          <w:color w:val="FF0000"/>
          <w:sz w:val="28"/>
          <w:szCs w:val="28"/>
          <w:highlight w:val="none"/>
          <w:u w:val="none"/>
        </w:rPr>
        <w:t>人民币</w:t>
      </w:r>
      <w:r>
        <w:rPr>
          <w:rFonts w:hint="eastAsia" w:ascii="仿宋_GB2312" w:hAnsi="仿宋_GB2312" w:eastAsia="仿宋_GB2312" w:cs="仿宋_GB2312"/>
          <w:snapToGrid w:val="0"/>
          <w:color w:val="FF0000"/>
          <w:sz w:val="28"/>
          <w:szCs w:val="28"/>
          <w:highlight w:val="none"/>
          <w:u w:val="none"/>
          <w:lang w:val="en-US" w:eastAsia="zh-CN"/>
        </w:rPr>
        <w:t>壹万叁仟</w:t>
      </w:r>
      <w:r>
        <w:rPr>
          <w:rFonts w:hint="eastAsia" w:ascii="仿宋_GB2312" w:hAnsi="仿宋_GB2312" w:eastAsia="仿宋_GB2312" w:cs="仿宋_GB2312"/>
          <w:snapToGrid w:val="0"/>
          <w:color w:val="FF0000"/>
          <w:sz w:val="28"/>
          <w:szCs w:val="28"/>
          <w:highlight w:val="none"/>
          <w:u w:val="none"/>
        </w:rPr>
        <w:t>元</w:t>
      </w:r>
      <w:r>
        <w:rPr>
          <w:rFonts w:hint="eastAsia" w:ascii="仿宋_GB2312" w:hAnsi="仿宋_GB2312" w:eastAsia="仿宋_GB2312" w:cs="仿宋_GB2312"/>
          <w:snapToGrid w:val="0"/>
          <w:color w:val="FF0000"/>
          <w:sz w:val="28"/>
          <w:szCs w:val="28"/>
          <w:highlight w:val="none"/>
          <w:u w:val="none"/>
          <w:lang w:val="en-US" w:eastAsia="zh-CN"/>
        </w:rPr>
        <w:t>整</w:t>
      </w:r>
      <w:r>
        <w:rPr>
          <w:rFonts w:hint="eastAsia" w:ascii="仿宋_GB2312" w:hAnsi="仿宋_GB2312" w:eastAsia="仿宋_GB2312" w:cs="仿宋_GB2312"/>
          <w:snapToGrid w:val="0"/>
          <w:color w:val="FF0000"/>
          <w:sz w:val="28"/>
          <w:szCs w:val="28"/>
          <w:highlight w:val="none"/>
          <w:u w:val="none"/>
          <w:lang w:eastAsia="zh-CN"/>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（1）中标人在收到中标通知书后，无法定正当理由拒签合同协议书或未按招标文件规定提交履约保证金/提供银行履约保函（独立保函）;</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7.非中标候选人，在中标公示期结束后10个工作日内，可办理投标保证金的无息退还。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8.中标人收到中标通知书，并提交履约保证金/提供银行履约保函（独立保函）后，可办理投标保证金的无息退还。</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开标和评标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auto"/>
          <w:sz w:val="28"/>
          <w:szCs w:val="28"/>
          <w:highlight w:val="none"/>
        </w:rPr>
        <w:t>招标人对本次招标</w:t>
      </w:r>
      <w:r>
        <w:rPr>
          <w:rFonts w:hint="eastAsia" w:ascii="仿宋_GB2312" w:hAnsi="仿宋_GB2312" w:eastAsia="仿宋_GB2312" w:cs="仿宋_GB2312"/>
          <w:snapToGrid w:val="0"/>
          <w:color w:val="auto"/>
          <w:sz w:val="28"/>
          <w:szCs w:val="28"/>
          <w:highlight w:val="none"/>
          <w:lang w:val="en-US" w:eastAsia="zh-CN"/>
        </w:rPr>
        <w:t>视情况</w:t>
      </w:r>
      <w:r>
        <w:rPr>
          <w:rFonts w:hint="eastAsia" w:ascii="仿宋_GB2312" w:hAnsi="仿宋_GB2312" w:eastAsia="仿宋_GB2312" w:cs="仿宋_GB2312"/>
          <w:snapToGrid w:val="0"/>
          <w:color w:val="auto"/>
          <w:sz w:val="28"/>
          <w:szCs w:val="28"/>
          <w:highlight w:val="none"/>
        </w:rPr>
        <w:t>进行现场开标</w:t>
      </w:r>
      <w:r>
        <w:rPr>
          <w:rFonts w:hint="eastAsia" w:ascii="仿宋_GB2312" w:hAnsi="仿宋_GB2312" w:eastAsia="仿宋_GB2312" w:cs="仿宋_GB2312"/>
          <w:snapToGrid w:val="0"/>
          <w:color w:val="000000"/>
          <w:sz w:val="28"/>
          <w:szCs w:val="28"/>
          <w:highlight w:val="none"/>
        </w:rPr>
        <w:t>，投标人代表应出示代表投标人参加开标的授权证明及本人身份证明。</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rPr>
      </w:pPr>
      <w:r>
        <w:rPr>
          <w:rFonts w:hint="eastAsia" w:ascii="仿宋_GB2312" w:hAnsi="仿宋_GB2312" w:eastAsia="仿宋_GB2312" w:cs="仿宋_GB2312"/>
          <w:b w:val="0"/>
          <w:bCs/>
          <w:snapToGrid w:val="0"/>
          <w:color w:val="000000"/>
          <w:sz w:val="28"/>
          <w:szCs w:val="28"/>
          <w:highlight w:val="none"/>
          <w:lang w:val="en-US" w:eastAsia="zh-CN"/>
        </w:rPr>
        <w:t>评标方式</w:t>
      </w:r>
    </w:p>
    <w:p>
      <w:pPr>
        <w:numPr>
          <w:ilvl w:val="-1"/>
          <w:numId w:val="0"/>
        </w:numPr>
        <w:autoSpaceDE w:val="0"/>
        <w:autoSpaceDN w:val="0"/>
        <w:adjustRightInd w:val="0"/>
        <w:spacing w:line="560" w:lineRule="atLeast"/>
        <w:ind w:left="420" w:leftChars="20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 xml:space="preserve">最低评标价法 </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lang w:val="en-US" w:eastAsia="zh-CN"/>
        </w:rPr>
      </w:pPr>
      <w:r>
        <w:rPr>
          <w:rFonts w:hint="eastAsia" w:ascii="仿宋_GB2312" w:hAnsi="仿宋_GB2312" w:eastAsia="仿宋_GB2312" w:cs="仿宋_GB2312"/>
          <w:b w:val="0"/>
          <w:bCs/>
          <w:snapToGrid w:val="0"/>
          <w:color w:val="000000"/>
          <w:sz w:val="28"/>
          <w:szCs w:val="28"/>
          <w:highlight w:val="none"/>
          <w:lang w:val="en-US" w:eastAsia="zh-CN"/>
        </w:rPr>
        <w:t>投标文件的审查</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开标后，招标人将组织审查投标文件是否完整，是否有计算错误，文件签署</w:t>
      </w:r>
      <w:r>
        <w:rPr>
          <w:rFonts w:hint="eastAsia" w:ascii="仿宋_GB2312" w:hAnsi="仿宋_GB2312" w:eastAsia="仿宋_GB2312" w:cs="仿宋_GB2312"/>
          <w:snapToGrid w:val="0"/>
          <w:color w:val="000000"/>
          <w:sz w:val="28"/>
          <w:szCs w:val="28"/>
          <w:highlight w:val="none"/>
          <w:lang w:eastAsia="zh-CN"/>
        </w:rPr>
        <w:t>是否符合要求</w:t>
      </w:r>
      <w:r>
        <w:rPr>
          <w:rFonts w:hint="eastAsia" w:ascii="仿宋_GB2312" w:hAnsi="仿宋_GB2312" w:eastAsia="仿宋_GB2312" w:cs="仿宋_GB2312"/>
          <w:snapToGrid w:val="0"/>
          <w:color w:val="000000"/>
          <w:sz w:val="28"/>
          <w:szCs w:val="28"/>
          <w:highlight w:val="none"/>
        </w:rPr>
        <w:t>。</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招标人将确定每一投标是否对招标文件的要求作出了实质性的响应，而没有明显的偏离或保留。</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招标人判断投标文件的响应性仅基于投标文件本身而不靠外部证据。</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招标人将拒绝被确定为非实质性响应的投标，投标人不能通过修正或撤销不符之处而使其投标成为实质性响应的投标。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澄清应是书面的，并由法定代表人或其授权代理人签字。</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投标人的澄清文件是投标文件的组成部分，并取代投标文件中被澄清的部分。</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投标文件的澄清不得对投标内容进行实质性修改。</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评标工作</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招标人将按照公开、公平、公正的原则对待所有投标人。</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评标是招标工作的重要环节，评标工作在招标人内独立进行。</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在投标、评标过程中，如有投标人联合故意抬高报价或其他不正当行为，招标人有权中止投标或评标。</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中标</w:t>
      </w:r>
      <w:r>
        <w:rPr>
          <w:rFonts w:hint="eastAsia" w:ascii="仿宋_GB2312" w:hAnsi="仿宋_GB2312" w:eastAsia="仿宋_GB2312" w:cs="仿宋_GB2312"/>
          <w:b/>
          <w:bCs/>
          <w:snapToGrid w:val="0"/>
          <w:color w:val="000000"/>
          <w:sz w:val="28"/>
          <w:szCs w:val="28"/>
          <w:highlight w:val="none"/>
          <w:lang w:eastAsia="zh-CN"/>
        </w:rPr>
        <w:t>、</w:t>
      </w:r>
      <w:r>
        <w:rPr>
          <w:rFonts w:hint="eastAsia" w:ascii="仿宋_GB2312" w:hAnsi="仿宋_GB2312" w:eastAsia="仿宋_GB2312" w:cs="仿宋_GB2312"/>
          <w:b/>
          <w:bCs/>
          <w:snapToGrid w:val="0"/>
          <w:color w:val="000000"/>
          <w:sz w:val="28"/>
          <w:szCs w:val="28"/>
          <w:highlight w:val="none"/>
          <w:lang w:val="en-US" w:eastAsia="zh-CN"/>
        </w:rPr>
        <w:t>履约担保</w:t>
      </w:r>
      <w:r>
        <w:rPr>
          <w:rFonts w:hint="eastAsia" w:ascii="仿宋_GB2312" w:hAnsi="仿宋_GB2312" w:eastAsia="仿宋_GB2312" w:cs="仿宋_GB2312"/>
          <w:b/>
          <w:bCs/>
          <w:snapToGrid w:val="0"/>
          <w:color w:val="000000"/>
          <w:sz w:val="28"/>
          <w:szCs w:val="28"/>
          <w:highlight w:val="none"/>
        </w:rPr>
        <w:t>与签署合同</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numPr>
          <w:ilvl w:val="0"/>
          <w:numId w:val="17"/>
        </w:numPr>
        <w:ind w:firstLine="42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履约担保</w:t>
      </w:r>
    </w:p>
    <w:p>
      <w:pPr>
        <w:numPr>
          <w:ilvl w:val="0"/>
          <w:numId w:val="0"/>
        </w:numPr>
        <w:autoSpaceDE w:val="0"/>
        <w:autoSpaceDN w:val="0"/>
        <w:adjustRightInd w:val="0"/>
        <w:ind w:firstLine="560" w:firstLineChars="200"/>
        <w:rPr>
          <w:rFonts w:hint="eastAsia" w:ascii="仿宋_GB2312" w:hAnsi="仿宋_GB2312" w:eastAsia="仿宋_GB2312" w:cs="仿宋_GB2312"/>
          <w:b w:val="0"/>
          <w:snapToGrid w:val="0"/>
          <w:color w:val="000000"/>
          <w:sz w:val="28"/>
          <w:szCs w:val="28"/>
          <w:highlight w:val="none"/>
          <w:lang w:val="en-US" w:eastAsia="zh-CN"/>
        </w:rPr>
      </w:pPr>
      <w:r>
        <w:rPr>
          <w:rFonts w:hint="eastAsia" w:ascii="仿宋_GB2312" w:hAnsi="仿宋_GB2312" w:eastAsia="仿宋_GB2312" w:cs="仿宋_GB2312"/>
          <w:b w:val="0"/>
          <w:snapToGrid w:val="0"/>
          <w:color w:val="000000"/>
          <w:sz w:val="28"/>
          <w:szCs w:val="28"/>
          <w:highlight w:val="none"/>
          <w:lang w:val="en-US" w:eastAsia="zh-CN"/>
        </w:rPr>
        <w:t xml:space="preserve"> 履约保证金</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1）</w:t>
      </w:r>
      <w:r>
        <w:rPr>
          <w:rFonts w:hint="eastAsia" w:ascii="仿宋_GB2312" w:hAnsi="仿宋_GB2312" w:eastAsia="仿宋_GB2312" w:cs="仿宋_GB2312"/>
          <w:snapToGrid w:val="0"/>
          <w:color w:val="000000"/>
          <w:sz w:val="28"/>
          <w:szCs w:val="28"/>
          <w:highlight w:val="none"/>
        </w:rPr>
        <w:t>中标人应当自收到中标通知书之日起30天内，提交</w:t>
      </w:r>
      <w:r>
        <w:rPr>
          <w:rFonts w:hint="eastAsia" w:ascii="仿宋_GB2312" w:hAnsi="仿宋_GB2312" w:eastAsia="仿宋_GB2312" w:cs="仿宋_GB2312"/>
          <w:snapToGrid w:val="0"/>
          <w:color w:val="000000"/>
          <w:sz w:val="28"/>
          <w:szCs w:val="28"/>
          <w:highlight w:val="none"/>
          <w:lang w:eastAsia="zh-CN"/>
        </w:rPr>
        <w:t>☑合同价的</w:t>
      </w:r>
      <w:r>
        <w:rPr>
          <w:rFonts w:hint="eastAsia" w:ascii="仿宋_GB2312" w:hAnsi="仿宋_GB2312" w:eastAsia="仿宋_GB2312" w:cs="仿宋_GB2312"/>
          <w:snapToGrid w:val="0"/>
          <w:color w:val="000000"/>
          <w:sz w:val="28"/>
          <w:szCs w:val="28"/>
          <w:highlight w:val="none"/>
          <w:lang w:val="en-US" w:eastAsia="zh-CN"/>
        </w:rPr>
        <w:t>10%  □其他：</w:t>
      </w:r>
      <w:r>
        <w:rPr>
          <w:rFonts w:hint="eastAsia" w:ascii="仿宋_GB2312" w:hAnsi="仿宋_GB2312" w:eastAsia="仿宋_GB2312" w:cs="仿宋_GB2312"/>
          <w:snapToGrid w:val="0"/>
          <w:color w:val="000000"/>
          <w:sz w:val="28"/>
          <w:szCs w:val="28"/>
          <w:highlight w:val="none"/>
          <w:u w:val="single"/>
          <w:lang w:val="en-US" w:eastAsia="zh-CN"/>
        </w:rPr>
        <w:t xml:space="preserve"> XX   </w:t>
      </w:r>
      <w:r>
        <w:rPr>
          <w:rFonts w:hint="eastAsia" w:ascii="仿宋_GB2312" w:hAnsi="仿宋_GB2312" w:eastAsia="仿宋_GB2312" w:cs="仿宋_GB2312"/>
          <w:snapToGrid w:val="0"/>
          <w:color w:val="000000"/>
          <w:sz w:val="28"/>
          <w:szCs w:val="28"/>
          <w:highlight w:val="none"/>
          <w:lang w:val="en-US" w:eastAsia="zh-CN"/>
        </w:rPr>
        <w:t>元</w:t>
      </w:r>
      <w:r>
        <w:rPr>
          <w:rFonts w:hint="eastAsia" w:ascii="仿宋_GB2312" w:hAnsi="仿宋_GB2312" w:eastAsia="仿宋_GB2312" w:cs="仿宋_GB2312"/>
          <w:snapToGrid w:val="0"/>
          <w:color w:val="000000"/>
          <w:sz w:val="28"/>
          <w:szCs w:val="28"/>
          <w:highlight w:val="none"/>
        </w:rPr>
        <w:t>的履约保证金，并一次性足额存入履约保证金专用账户。</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2）</w:t>
      </w:r>
      <w:r>
        <w:rPr>
          <w:rFonts w:hint="eastAsia" w:ascii="仿宋_GB2312" w:hAnsi="仿宋_GB2312" w:eastAsia="仿宋_GB2312" w:cs="仿宋_GB2312"/>
          <w:snapToGrid w:val="0"/>
          <w:color w:val="000000"/>
          <w:sz w:val="28"/>
          <w:szCs w:val="28"/>
          <w:highlight w:val="none"/>
        </w:rPr>
        <w:t>履约保证金应当采用银行转账或电汇等缴纳方式，不直接收取现金、个人存折。</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3)</w:t>
      </w:r>
      <w:r>
        <w:rPr>
          <w:rFonts w:hint="eastAsia" w:ascii="仿宋_GB2312" w:hAnsi="仿宋_GB2312" w:eastAsia="仿宋_GB2312" w:cs="仿宋_GB2312"/>
          <w:snapToGrid w:val="0"/>
          <w:color w:val="000000"/>
          <w:sz w:val="28"/>
          <w:szCs w:val="28"/>
          <w:highlight w:val="none"/>
        </w:rPr>
        <w:t>履约保证金</w:t>
      </w:r>
      <w:r>
        <w:rPr>
          <w:rFonts w:hint="eastAsia" w:ascii="仿宋_GB2312" w:hAnsi="仿宋_GB2312" w:eastAsia="仿宋_GB2312" w:cs="仿宋_GB2312"/>
          <w:snapToGrid w:val="0"/>
          <w:color w:val="000000"/>
          <w:sz w:val="28"/>
          <w:szCs w:val="28"/>
          <w:highlight w:val="none"/>
          <w:lang w:val="en-US" w:eastAsia="zh-CN"/>
        </w:rPr>
        <w:t>在</w:t>
      </w:r>
      <w:r>
        <w:rPr>
          <w:rFonts w:hint="eastAsia" w:ascii="仿宋_GB2312" w:hAnsi="仿宋_GB2312" w:eastAsia="仿宋_GB2312" w:cs="仿宋_GB2312"/>
          <w:snapToGrid w:val="0"/>
          <w:color w:val="000000"/>
          <w:sz w:val="28"/>
          <w:szCs w:val="28"/>
          <w:highlight w:val="none"/>
        </w:rPr>
        <w:t>使用电汇、网上银行转帐的形式提交</w:t>
      </w:r>
      <w:r>
        <w:rPr>
          <w:rFonts w:hint="eastAsia" w:ascii="仿宋_GB2312" w:hAnsi="仿宋_GB2312" w:eastAsia="仿宋_GB2312" w:cs="仿宋_GB2312"/>
          <w:snapToGrid w:val="0"/>
          <w:color w:val="000000"/>
          <w:sz w:val="28"/>
          <w:szCs w:val="28"/>
          <w:highlight w:val="none"/>
          <w:lang w:val="en-US" w:eastAsia="zh-CN"/>
        </w:rPr>
        <w:t>时应</w:t>
      </w:r>
      <w:r>
        <w:rPr>
          <w:rFonts w:hint="eastAsia" w:ascii="仿宋_GB2312" w:hAnsi="仿宋_GB2312" w:eastAsia="仿宋_GB2312" w:cs="仿宋_GB2312"/>
          <w:snapToGrid w:val="0"/>
          <w:color w:val="000000"/>
          <w:sz w:val="28"/>
          <w:szCs w:val="28"/>
          <w:highlight w:val="none"/>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账号：101290001022913940</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受理时间：法定工作日9:00～16:00，交纳时间以履约保证金专用账户实际收到的时间为准。（友情提示：为确保履约保证金能按时到</w:t>
      </w:r>
      <w:r>
        <w:rPr>
          <w:rFonts w:hint="eastAsia" w:ascii="仿宋_GB2312" w:hAnsi="仿宋_GB2312" w:eastAsia="仿宋_GB2312" w:cs="仿宋_GB2312"/>
          <w:snapToGrid w:val="0"/>
          <w:color w:val="000000"/>
          <w:sz w:val="28"/>
          <w:szCs w:val="28"/>
          <w:highlight w:val="none"/>
          <w:lang w:val="en-US" w:eastAsia="zh-CN"/>
        </w:rPr>
        <w:t>账</w:t>
      </w:r>
      <w:r>
        <w:rPr>
          <w:rFonts w:hint="eastAsia" w:ascii="仿宋_GB2312" w:hAnsi="仿宋_GB2312" w:eastAsia="仿宋_GB2312" w:cs="仿宋_GB2312"/>
          <w:snapToGrid w:val="0"/>
          <w:color w:val="000000"/>
          <w:sz w:val="28"/>
          <w:szCs w:val="28"/>
          <w:highlight w:val="none"/>
        </w:rPr>
        <w:t>，中标人按要求提前将履约保证金汇入专用账户内，以免延误。履约保证金到账查询电话：0512-52739210）</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拟签订的合同文本</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合同文本参考附件，实际以最终合同为准。</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合同款的支付方式、时间和条件详见合同相关条款。</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其他未尽事项</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本项目计划选取1家中标单位。</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采购结果延用周期：</w:t>
      </w:r>
      <w:r>
        <w:rPr>
          <w:rFonts w:hint="eastAsia" w:ascii="仿宋_GB2312" w:hAnsi="仿宋_GB2312" w:eastAsia="仿宋_GB2312" w:cs="仿宋_GB2312"/>
          <w:snapToGrid w:val="0"/>
          <w:color w:val="000000"/>
          <w:sz w:val="28"/>
          <w:szCs w:val="28"/>
          <w:highlight w:val="none"/>
          <w:u w:val="single"/>
          <w:lang w:val="en-US" w:eastAsia="zh-CN"/>
        </w:rPr>
        <w:t xml:space="preserve"> 3 </w:t>
      </w:r>
      <w:r>
        <w:rPr>
          <w:rFonts w:hint="eastAsia" w:ascii="仿宋_GB2312" w:hAnsi="仿宋_GB2312" w:eastAsia="仿宋_GB2312" w:cs="仿宋_GB2312"/>
          <w:snapToGrid w:val="0"/>
          <w:color w:val="000000"/>
          <w:sz w:val="28"/>
          <w:szCs w:val="28"/>
          <w:highlight w:val="none"/>
          <w:lang w:val="en-US" w:eastAsia="zh-CN"/>
        </w:rPr>
        <w:t>年</w:t>
      </w:r>
    </w:p>
    <w:p>
      <w:pPr>
        <w:numPr>
          <w:ilvl w:val="0"/>
          <w:numId w:val="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ind w:firstLine="2811" w:firstLineChars="1000"/>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第三部分  投标文件格式</w:t>
      </w:r>
    </w:p>
    <w:p>
      <w:pPr>
        <w:pStyle w:val="3"/>
        <w:spacing w:after="0" w:line="240" w:lineRule="auto"/>
        <w:jc w:val="left"/>
        <w:rPr>
          <w:rFonts w:hint="eastAsia" w:ascii="仿宋_GB2312" w:hAnsi="仿宋_GB2312" w:eastAsia="仿宋_GB2312" w:cs="仿宋_GB2312"/>
          <w:b w:val="0"/>
          <w:snapToGrid w:val="0"/>
          <w:sz w:val="28"/>
          <w:szCs w:val="28"/>
          <w:highlight w:val="none"/>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highlight w:val="none"/>
        </w:rPr>
        <w:t>附件1：投标书</w:t>
      </w:r>
    </w:p>
    <w:p>
      <w:pPr>
        <w:pStyle w:val="20"/>
        <w:adjustRightInd w:val="0"/>
        <w:jc w:val="center"/>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32"/>
          <w:szCs w:val="32"/>
          <w:highlight w:val="none"/>
        </w:rPr>
        <w:t>投  标  书</w:t>
      </w:r>
    </w:p>
    <w:p>
      <w:pPr>
        <w:pStyle w:val="20"/>
        <w:adjustRightInd w:val="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致：江苏常熟农村商业银行股份有限公司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招标书，投标人</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（投标人名称）提供相关文件并做出以下承诺：</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招标文件规定的全部文件正本一份，副本二份。</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投标人同意如下：</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投标人完全接受招标文件中的内容，并将按招标文件的规定履行义务，按相关法律法规履行我方的全部责任。</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投标人己详细审查全部招标文件，包括修改文件以及全部参考资料和有关附件，无其他不明事项。</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r>
        <w:rPr>
          <w:rFonts w:hint="eastAsia" w:ascii="仿宋_GB2312" w:hAnsi="仿宋_GB2312" w:eastAsia="仿宋_GB2312" w:cs="仿宋_GB2312"/>
          <w:snapToGrid w:val="0"/>
          <w:color w:val="000000"/>
          <w:sz w:val="28"/>
          <w:szCs w:val="28"/>
          <w:highlight w:val="none"/>
        </w:rPr>
        <w:t>（人员匹配率为：投标书匹配人员数量/投标书项目人员总数）</w:t>
      </w:r>
    </w:p>
    <w:p>
      <w:pPr>
        <w:numPr>
          <w:ilvl w:val="0"/>
          <w:numId w:val="22"/>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szCs w:val="28"/>
          <w:highlight w:val="none"/>
        </w:rPr>
        <w:t>愿意按招标文件的规定交纳人民币</w:t>
      </w:r>
      <w:r>
        <w:rPr>
          <w:rFonts w:hint="eastAsia" w:ascii="仿宋_GB2312" w:hAnsi="仿宋_GB2312" w:eastAsia="仿宋_GB2312" w:cs="仿宋_GB2312"/>
          <w:color w:val="000000"/>
          <w:sz w:val="28"/>
          <w:szCs w:val="28"/>
          <w:highlight w:val="none"/>
          <w:lang w:val="en-US" w:eastAsia="zh-CN"/>
        </w:rPr>
        <w:t>(大写)</w:t>
      </w:r>
      <w:r>
        <w:rPr>
          <w:rFonts w:hint="eastAsia" w:ascii="仿宋_GB2312" w:hAnsi="仿宋_GB2312" w:eastAsia="仿宋_GB2312" w:cs="仿宋_GB2312"/>
          <w:color w:val="000000"/>
          <w:sz w:val="28"/>
          <w:szCs w:val="28"/>
          <w:highlight w:val="none"/>
          <w:u w:val="none"/>
          <w:lang w:val="en-US" w:eastAsia="zh-CN"/>
        </w:rPr>
        <w:t xml:space="preserve">   </w:t>
      </w:r>
      <w:r>
        <w:rPr>
          <w:rFonts w:hint="eastAsia" w:ascii="仿宋_GB2312" w:hAnsi="仿宋_GB2312" w:eastAsia="仿宋_GB2312" w:cs="仿宋_GB2312"/>
          <w:color w:val="000000"/>
          <w:sz w:val="28"/>
          <w:szCs w:val="28"/>
          <w:highlight w:val="none"/>
          <w:u w:val="single"/>
          <w:lang w:val="en-US" w:eastAsia="zh-CN"/>
        </w:rPr>
        <w:t xml:space="preserve">     元整</w:t>
      </w:r>
      <w:r>
        <w:rPr>
          <w:rFonts w:hint="eastAsia" w:ascii="仿宋_GB2312" w:hAnsi="仿宋_GB2312" w:eastAsia="仿宋_GB2312" w:cs="仿宋_GB2312"/>
          <w:color w:val="000000"/>
          <w:sz w:val="28"/>
          <w:szCs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如果我方被确定为中标人，我方愿意按招标文件的规定交纳履约保证金</w:t>
      </w:r>
      <w:r>
        <w:rPr>
          <w:rFonts w:hint="eastAsia" w:ascii="仿宋_GB2312" w:hAnsi="仿宋_GB2312" w:eastAsia="仿宋_GB2312" w:cs="仿宋_GB2312"/>
          <w:color w:val="000000"/>
          <w:sz w:val="28"/>
          <w:szCs w:val="28"/>
          <w:highlight w:val="none"/>
          <w:lang w:val="en-US" w:eastAsia="zh-CN"/>
        </w:rPr>
        <w:t>或向招标人提供受益人为招标人的银行履约保函（独立保函）</w:t>
      </w:r>
      <w:r>
        <w:rPr>
          <w:rFonts w:hint="eastAsia" w:ascii="仿宋_GB2312" w:hAnsi="仿宋_GB2312" w:eastAsia="仿宋_GB2312" w:cs="仿宋_GB2312"/>
          <w:color w:val="000000"/>
          <w:sz w:val="28"/>
          <w:szCs w:val="28"/>
          <w:highlight w:val="none"/>
        </w:rPr>
        <w:t>。且我方如无不可抗力，又未履行招标文件、投标文件和合同条款的，一经查实，我方愿意赔偿由此而造成的一切损失，并同意接受按招标文件的相关要求对我方进行的处理。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snapToGrid w:val="0"/>
          <w:color w:val="000000"/>
          <w:sz w:val="28"/>
          <w:szCs w:val="28"/>
          <w:highlight w:val="none"/>
        </w:rPr>
        <w:br w:type="page"/>
      </w:r>
      <w:r>
        <w:rPr>
          <w:rFonts w:hint="eastAsia" w:ascii="仿宋_GB2312" w:hAnsi="仿宋_GB2312" w:eastAsia="仿宋_GB2312" w:cs="仿宋_GB2312"/>
          <w:b w:val="0"/>
          <w:snapToGrid w:val="0"/>
          <w:color w:val="000000"/>
          <w:sz w:val="28"/>
          <w:szCs w:val="28"/>
          <w:highlight w:val="none"/>
        </w:rPr>
        <w:t>附件2：法</w:t>
      </w:r>
      <w:r>
        <w:rPr>
          <w:rFonts w:hint="eastAsia" w:ascii="仿宋_GB2312" w:hAnsi="仿宋_GB2312" w:eastAsia="仿宋_GB2312" w:cs="仿宋_GB2312"/>
          <w:b w:val="0"/>
          <w:snapToGrid w:val="0"/>
          <w:color w:val="000000"/>
          <w:sz w:val="28"/>
          <w:szCs w:val="28"/>
          <w:highlight w:val="none"/>
          <w:lang w:val="en-US" w:eastAsia="zh-CN"/>
        </w:rPr>
        <w:t>定</w:t>
      </w:r>
      <w:r>
        <w:rPr>
          <w:rFonts w:hint="eastAsia" w:ascii="仿宋_GB2312" w:hAnsi="仿宋_GB2312" w:eastAsia="仿宋_GB2312" w:cs="仿宋_GB2312"/>
          <w:b w:val="0"/>
          <w:snapToGrid w:val="0"/>
          <w:color w:val="000000"/>
          <w:sz w:val="28"/>
          <w:szCs w:val="28"/>
          <w:highlight w:val="none"/>
        </w:rPr>
        <w:t>代表授权委托书</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napToGrid w:val="0"/>
          <w:color w:val="000000"/>
          <w:sz w:val="32"/>
          <w:szCs w:val="32"/>
          <w:highlight w:val="none"/>
        </w:rPr>
        <w:t>法</w:t>
      </w:r>
      <w:r>
        <w:rPr>
          <w:rFonts w:hint="eastAsia" w:ascii="仿宋_GB2312" w:hAnsi="仿宋_GB2312" w:eastAsia="仿宋_GB2312" w:cs="仿宋_GB2312"/>
          <w:b/>
          <w:snapToGrid w:val="0"/>
          <w:color w:val="000000"/>
          <w:sz w:val="32"/>
          <w:szCs w:val="32"/>
          <w:highlight w:val="none"/>
          <w:lang w:val="en-US" w:eastAsia="zh-CN"/>
        </w:rPr>
        <w:t>定</w:t>
      </w:r>
      <w:r>
        <w:rPr>
          <w:rFonts w:hint="eastAsia" w:ascii="仿宋_GB2312" w:hAnsi="仿宋_GB2312" w:eastAsia="仿宋_GB2312" w:cs="仿宋_GB2312"/>
          <w:b/>
          <w:snapToGrid w:val="0"/>
          <w:color w:val="000000"/>
          <w:sz w:val="32"/>
          <w:szCs w:val="32"/>
          <w:highlight w:val="none"/>
        </w:rPr>
        <w:t>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公司名称）（投标人公司注册地点）法定代表人（姓名）经合法授权，特代表本公司（以下称“投标人”）任命：（姓名）为正式的合法代理人，并授权该代理人在有关的投标工作中，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pacing w:val="2"/>
          <w:kern w:val="0"/>
          <w:position w:val="-1"/>
          <w:sz w:val="28"/>
          <w:szCs w:val="28"/>
          <w:highlight w:val="none"/>
          <w:lang w:val="zh-CN"/>
        </w:rPr>
        <w:br w:type="page"/>
      </w:r>
      <w:r>
        <w:rPr>
          <w:rFonts w:hint="eastAsia" w:ascii="仿宋_GB2312" w:hAnsi="仿宋_GB2312" w:eastAsia="仿宋_GB2312" w:cs="仿宋_GB2312"/>
          <w:b w:val="0"/>
          <w:snapToGrid w:val="0"/>
          <w:color w:val="000000"/>
          <w:sz w:val="28"/>
          <w:szCs w:val="28"/>
          <w:highlight w:val="none"/>
        </w:rPr>
        <w:t>附件</w:t>
      </w:r>
      <w:r>
        <w:rPr>
          <w:rFonts w:hint="eastAsia" w:ascii="仿宋_GB2312" w:hAnsi="仿宋_GB2312" w:eastAsia="仿宋_GB2312" w:cs="仿宋_GB2312"/>
          <w:b w:val="0"/>
          <w:snapToGrid w:val="0"/>
          <w:color w:val="000000"/>
          <w:sz w:val="28"/>
          <w:szCs w:val="28"/>
          <w:highlight w:val="none"/>
          <w:lang w:eastAsia="zh-CN"/>
        </w:rPr>
        <w:t>３</w:t>
      </w:r>
      <w:r>
        <w:rPr>
          <w:rFonts w:hint="eastAsia" w:ascii="仿宋_GB2312" w:hAnsi="仿宋_GB2312" w:eastAsia="仿宋_GB2312" w:cs="仿宋_GB2312"/>
          <w:b w:val="0"/>
          <w:snapToGrid w:val="0"/>
          <w:color w:val="000000"/>
          <w:sz w:val="28"/>
          <w:szCs w:val="28"/>
          <w:highlight w:val="none"/>
          <w:lang w:val="en-US" w:eastAsia="zh-CN"/>
        </w:rPr>
        <w:t>：</w:t>
      </w:r>
      <w:r>
        <w:rPr>
          <w:rFonts w:hint="eastAsia" w:ascii="仿宋_GB2312" w:hAnsi="仿宋_GB2312" w:eastAsia="仿宋_GB2312" w:cs="仿宋_GB2312"/>
          <w:b w:val="0"/>
          <w:bCs/>
          <w:snapToGrid w:val="0"/>
          <w:color w:val="000000"/>
          <w:kern w:val="2"/>
          <w:sz w:val="28"/>
          <w:szCs w:val="28"/>
          <w:highlight w:val="none"/>
          <w:lang w:val="en-US" w:eastAsia="zh-CN" w:bidi="ar-SA"/>
        </w:rPr>
        <w:t>投标价格一览表</w:t>
      </w:r>
      <w:r>
        <w:rPr>
          <w:rFonts w:hint="eastAsia" w:ascii="仿宋_GB2312" w:hAnsi="仿宋_GB2312" w:eastAsia="仿宋_GB2312" w:cs="仿宋_GB2312"/>
          <w:b/>
          <w:bCs w:val="0"/>
          <w:snapToGrid w:val="0"/>
          <w:color w:val="000000"/>
          <w:kern w:val="2"/>
          <w:sz w:val="28"/>
          <w:szCs w:val="28"/>
          <w:highlight w:val="none"/>
          <w:lang w:val="en-US" w:eastAsia="zh-CN" w:bidi="ar-SA"/>
        </w:rPr>
        <w:t>【单独密封】</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投标价格</w:t>
      </w:r>
      <w:r>
        <w:rPr>
          <w:rFonts w:hint="eastAsia" w:ascii="仿宋_GB2312" w:hAnsi="仿宋_GB2312" w:eastAsia="仿宋_GB2312" w:cs="仿宋_GB2312"/>
          <w:b w:val="0"/>
          <w:bCs/>
          <w:snapToGrid w:val="0"/>
          <w:color w:val="000000"/>
          <w:kern w:val="2"/>
          <w:sz w:val="28"/>
          <w:szCs w:val="28"/>
          <w:highlight w:val="none"/>
          <w:lang w:val="en-US" w:eastAsia="zh-CN" w:bidi="ar-SA"/>
        </w:rPr>
        <w:t>一览·表</w:t>
      </w:r>
      <w:r>
        <w:rPr>
          <w:rFonts w:hint="eastAsia" w:ascii="仿宋_GB2312" w:hAnsi="仿宋_GB2312" w:eastAsia="仿宋_GB2312" w:cs="仿宋_GB2312"/>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项目总报价</w:t>
      </w:r>
      <w:r>
        <w:rPr>
          <w:rFonts w:hint="eastAsia" w:ascii="仿宋_GB2312" w:hAnsi="仿宋_GB2312" w:eastAsia="仿宋_GB2312" w:cs="仿宋_GB2312"/>
          <w:bCs/>
          <w:snapToGrid w:val="0"/>
          <w:sz w:val="28"/>
          <w:szCs w:val="28"/>
          <w:highlight w:val="none"/>
          <w:lang w:eastAsia="zh-CN"/>
        </w:rPr>
        <w:t>（人民币）</w:t>
      </w:r>
      <w:r>
        <w:rPr>
          <w:rFonts w:hint="eastAsia" w:ascii="仿宋_GB2312" w:hAnsi="仿宋_GB2312" w:eastAsia="仿宋_GB2312" w:cs="仿宋_GB2312"/>
          <w:bCs/>
          <w:snapToGrid w:val="0"/>
          <w:sz w:val="28"/>
          <w:szCs w:val="28"/>
          <w:highlight w:val="none"/>
        </w:rPr>
        <w:t>：</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lang w:val="en-US" w:eastAsia="zh-CN"/>
        </w:rPr>
        <w:t>其中项目软件费用</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项目计划进场时间：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预计项目上线时间：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项目计划总工期：</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人月单价:</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lang w:eastAsia="zh-CN"/>
        </w:rPr>
        <w:t>报价明细：</w:t>
      </w:r>
    </w:p>
    <w:tbl>
      <w:tblPr>
        <w:tblStyle w:val="32"/>
        <w:tblW w:w="6338" w:type="dxa"/>
        <w:jc w:val="center"/>
        <w:tblInd w:w="0" w:type="dxa"/>
        <w:tblLayout w:type="fixed"/>
        <w:tblCellMar>
          <w:top w:w="0" w:type="dxa"/>
          <w:left w:w="108" w:type="dxa"/>
          <w:bottom w:w="0" w:type="dxa"/>
          <w:right w:w="108" w:type="dxa"/>
        </w:tblCellMar>
      </w:tblPr>
      <w:tblGrid>
        <w:gridCol w:w="2453"/>
        <w:gridCol w:w="765"/>
        <w:gridCol w:w="751"/>
        <w:gridCol w:w="1099"/>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数</w:t>
            </w:r>
            <w:r>
              <w:rPr>
                <w:rFonts w:hint="eastAsia" w:ascii="仿宋_GB2312" w:hAnsi="仿宋_GB2312" w:eastAsia="仿宋_GB2312" w:cs="仿宋_GB2312"/>
                <w:b/>
                <w:bCs/>
                <w:sz w:val="21"/>
                <w:szCs w:val="21"/>
                <w:highlight w:val="none"/>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w:t>
            </w:r>
            <w:r>
              <w:rPr>
                <w:rFonts w:hint="eastAsia" w:ascii="仿宋_GB2312" w:hAnsi="仿宋_GB2312" w:eastAsia="仿宋_GB2312" w:cs="仿宋_GB2312"/>
                <w:b/>
                <w:bCs/>
                <w:sz w:val="18"/>
                <w:szCs w:val="18"/>
                <w:highlight w:val="none"/>
              </w:rPr>
              <w:t>价（元</w:t>
            </w:r>
            <w:r>
              <w:rPr>
                <w:rFonts w:hint="eastAsia" w:ascii="仿宋_GB2312" w:hAnsi="仿宋_GB2312" w:eastAsia="仿宋_GB2312" w:cs="仿宋_GB2312"/>
                <w:b/>
                <w:bCs/>
                <w:sz w:val="21"/>
                <w:szCs w:val="21"/>
                <w:highlight w:val="none"/>
              </w:rPr>
              <w:t>）</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iCs/>
                <w:sz w:val="21"/>
                <w:szCs w:val="21"/>
                <w:highlight w:val="none"/>
                <w:lang w:eastAsia="zh-CN"/>
              </w:rPr>
              <w:t>软件名称</w:t>
            </w:r>
            <w:r>
              <w:rPr>
                <w:rFonts w:hint="eastAsia" w:ascii="仿宋_GB2312" w:hAnsi="仿宋_GB2312" w:eastAsia="仿宋_GB2312" w:cs="仿宋_GB2312"/>
                <w:i/>
                <w:iCs/>
                <w:sz w:val="21"/>
                <w:szCs w:val="21"/>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iCs/>
                <w:sz w:val="21"/>
                <w:szCs w:val="21"/>
                <w:highlight w:val="none"/>
                <w:lang w:eastAsia="zh-CN"/>
              </w:rPr>
              <w:t>咨询</w:t>
            </w:r>
            <w:r>
              <w:rPr>
                <w:rFonts w:hint="eastAsia" w:ascii="仿宋_GB2312" w:hAnsi="仿宋_GB2312" w:eastAsia="仿宋_GB2312" w:cs="仿宋_GB2312"/>
                <w:i/>
                <w:iCs/>
                <w:sz w:val="21"/>
                <w:szCs w:val="21"/>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系统（含软、硬件等）应提供免费维护期为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1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至少1年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维护期内提供（□驻场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远程支持 </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eastAsia="zh-CN"/>
        </w:rPr>
        <w:t>）支持服务，</w:t>
      </w:r>
      <w:r>
        <w:rPr>
          <w:rFonts w:hint="eastAsia" w:ascii="仿宋_GB2312" w:hAnsi="仿宋_GB2312" w:eastAsia="仿宋_GB2312" w:cs="仿宋_GB2312"/>
          <w:sz w:val="28"/>
          <w:szCs w:val="28"/>
          <w:highlight w:val="none"/>
        </w:rPr>
        <w:t>维护期满后，</w:t>
      </w:r>
      <w:r>
        <w:rPr>
          <w:rFonts w:hint="eastAsia" w:ascii="仿宋_GB2312" w:hAnsi="仿宋_GB2312" w:eastAsia="仿宋_GB2312" w:cs="仿宋_GB2312"/>
          <w:sz w:val="28"/>
          <w:szCs w:val="28"/>
          <w:highlight w:val="none"/>
          <w:lang w:val="en-US" w:eastAsia="zh-CN"/>
        </w:rPr>
        <w:t>如招标人需向投标人采购维保服务的，</w:t>
      </w:r>
      <w:r>
        <w:rPr>
          <w:rFonts w:hint="eastAsia" w:ascii="仿宋_GB2312" w:hAnsi="仿宋_GB2312" w:eastAsia="仿宋_GB2312" w:cs="仿宋_GB2312"/>
          <w:sz w:val="28"/>
          <w:szCs w:val="28"/>
          <w:highlight w:val="none"/>
        </w:rPr>
        <w:t>系统维护服务费用</w:t>
      </w:r>
      <w:r>
        <w:rPr>
          <w:rFonts w:hint="eastAsia" w:ascii="仿宋_GB2312" w:hAnsi="仿宋_GB2312" w:eastAsia="仿宋_GB2312" w:cs="仿宋_GB2312"/>
          <w:sz w:val="28"/>
          <w:szCs w:val="28"/>
          <w:highlight w:val="none"/>
          <w:lang w:val="en-US" w:eastAsia="zh-CN"/>
        </w:rPr>
        <w:t>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元/年（</w:t>
      </w:r>
      <w:r>
        <w:rPr>
          <w:rFonts w:hint="eastAsia" w:ascii="仿宋_GB2312" w:hAnsi="仿宋_GB2312" w:eastAsia="仿宋_GB2312" w:cs="仿宋_GB2312"/>
          <w:sz w:val="28"/>
          <w:szCs w:val="28"/>
          <w:highlight w:val="none"/>
        </w:rPr>
        <w:t>不超过项目</w:t>
      </w:r>
      <w:r>
        <w:rPr>
          <w:rFonts w:hint="eastAsia" w:ascii="仿宋_GB2312" w:hAnsi="仿宋_GB2312" w:eastAsia="仿宋_GB2312" w:cs="仿宋_GB2312"/>
          <w:sz w:val="28"/>
          <w:szCs w:val="28"/>
          <w:highlight w:val="none"/>
          <w:lang w:val="en-US" w:eastAsia="zh-CN"/>
        </w:rPr>
        <w:t>软件费用</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w:t>
      </w:r>
      <w:r>
        <w:rPr>
          <w:rFonts w:hint="eastAsia" w:ascii="仿宋_GB2312" w:hAnsi="仿宋_GB2312" w:eastAsia="仿宋_GB2312" w:cs="仿宋_GB2312"/>
          <w:color w:val="auto"/>
          <w:sz w:val="28"/>
          <w:szCs w:val="28"/>
          <w:highlight w:val="none"/>
          <w:lang w:val="en-US" w:eastAsia="zh-CN"/>
        </w:rPr>
        <w:t>从</w:t>
      </w:r>
      <w:r>
        <w:rPr>
          <w:rFonts w:hint="eastAsia" w:ascii="仿宋_GB2312" w:hAnsi="仿宋_GB2312" w:eastAsia="仿宋_GB2312" w:cs="仿宋_GB2312"/>
          <w:color w:val="auto"/>
          <w:sz w:val="28"/>
          <w:szCs w:val="28"/>
          <w:highlight w:val="none"/>
        </w:rPr>
        <w:t>投标方采购了人月服务，可以不再单独采购维护服务，但需提供按季度的巡检工作及平台升级等服务)。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系统建设过程中，如果工作范</w:t>
      </w:r>
      <w:r>
        <w:rPr>
          <w:rFonts w:hint="eastAsia" w:ascii="仿宋_GB2312" w:hAnsi="仿宋_GB2312" w:eastAsia="仿宋_GB2312" w:cs="仿宋_GB2312"/>
          <w:color w:val="auto"/>
          <w:sz w:val="28"/>
          <w:szCs w:val="28"/>
          <w:highlight w:val="none"/>
        </w:rPr>
        <w:t>围</w:t>
      </w:r>
      <w:r>
        <w:rPr>
          <w:rFonts w:hint="eastAsia" w:ascii="仿宋_GB2312" w:hAnsi="仿宋_GB2312" w:eastAsia="仿宋_GB2312" w:cs="仿宋_GB2312"/>
          <w:color w:val="auto"/>
          <w:sz w:val="28"/>
          <w:szCs w:val="28"/>
          <w:highlight w:val="none"/>
          <w:lang w:val="en-US" w:eastAsia="zh-CN"/>
        </w:rPr>
        <w:t>发生</w:t>
      </w:r>
      <w:r>
        <w:rPr>
          <w:rFonts w:hint="eastAsia" w:ascii="仿宋_GB2312" w:hAnsi="仿宋_GB2312" w:eastAsia="仿宋_GB2312" w:cs="仿宋_GB2312"/>
          <w:color w:val="auto"/>
          <w:sz w:val="28"/>
          <w:szCs w:val="28"/>
          <w:highlight w:val="none"/>
        </w:rPr>
        <w:t>转换</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变更不超过10%</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，不另外收费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软件类系统，系统上线</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2</w:t>
      </w:r>
      <w:r>
        <w:rPr>
          <w:rFonts w:hint="eastAsia" w:ascii="仿宋_GB2312" w:hAnsi="仿宋_GB2312" w:eastAsia="仿宋_GB2312" w:cs="仿宋_GB2312"/>
          <w:color w:val="auto"/>
          <w:sz w:val="28"/>
          <w:szCs w:val="28"/>
          <w:highlight w:val="none"/>
        </w:rPr>
        <w:t>年内，</w:t>
      </w:r>
      <w:r>
        <w:rPr>
          <w:rFonts w:hint="eastAsia" w:ascii="仿宋_GB2312" w:hAnsi="仿宋_GB2312" w:eastAsia="仿宋_GB2312" w:cs="仿宋_GB2312"/>
          <w:color w:val="auto"/>
          <w:sz w:val="28"/>
          <w:szCs w:val="28"/>
          <w:highlight w:val="none"/>
          <w:lang w:eastAsia="zh-CN"/>
        </w:rPr>
        <w:t>由于功能新增</w:t>
      </w:r>
      <w:r>
        <w:rPr>
          <w:rFonts w:hint="eastAsia" w:ascii="仿宋_GB2312" w:hAnsi="仿宋_GB2312" w:eastAsia="仿宋_GB2312" w:cs="仿宋_GB2312"/>
          <w:color w:val="auto"/>
          <w:sz w:val="28"/>
          <w:szCs w:val="28"/>
          <w:highlight w:val="none"/>
        </w:rPr>
        <w:t>经双</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协</w:t>
      </w:r>
      <w:r>
        <w:rPr>
          <w:rFonts w:hint="eastAsia" w:ascii="仿宋_GB2312" w:hAnsi="仿宋_GB2312" w:eastAsia="仿宋_GB2312" w:cs="仿宋_GB2312"/>
          <w:sz w:val="28"/>
          <w:szCs w:val="28"/>
          <w:highlight w:val="none"/>
        </w:rPr>
        <w:t>商同意需要计算工作量的，</w:t>
      </w:r>
      <w:r>
        <w:rPr>
          <w:rFonts w:hint="eastAsia" w:ascii="仿宋_GB2312" w:hAnsi="仿宋_GB2312" w:eastAsia="仿宋_GB2312" w:cs="仿宋_GB2312"/>
          <w:sz w:val="28"/>
          <w:szCs w:val="28"/>
          <w:highlight w:val="none"/>
          <w:lang w:eastAsia="zh-CN"/>
        </w:rPr>
        <w:t>工作量</w:t>
      </w:r>
      <w:r>
        <w:rPr>
          <w:rFonts w:hint="eastAsia" w:ascii="仿宋_GB2312" w:hAnsi="仿宋_GB2312" w:eastAsia="仿宋_GB2312" w:cs="仿宋_GB2312"/>
          <w:sz w:val="28"/>
          <w:szCs w:val="28"/>
          <w:highlight w:val="none"/>
        </w:rPr>
        <w:t>报价不超</w:t>
      </w:r>
      <w:r>
        <w:rPr>
          <w:rFonts w:hint="eastAsia" w:ascii="仿宋_GB2312" w:hAnsi="仿宋_GB2312" w:eastAsia="仿宋_GB2312" w:cs="仿宋_GB2312"/>
          <w:sz w:val="28"/>
          <w:szCs w:val="28"/>
          <w:highlight w:val="none"/>
          <w:lang w:val="en-US" w:eastAsia="zh-CN"/>
        </w:rPr>
        <w:t>过</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8"/>
          <w:szCs w:val="28"/>
          <w:highlight w:val="none"/>
          <w:u w:val="single"/>
          <w:lang w:eastAsia="zh-CN"/>
        </w:rPr>
        <w:t>五</w:t>
      </w:r>
      <w:r>
        <w:rPr>
          <w:rFonts w:hint="eastAsia" w:ascii="仿宋_GB2312" w:hAnsi="仿宋_GB2312" w:eastAsia="仿宋_GB2312" w:cs="仿宋_GB2312"/>
          <w:sz w:val="28"/>
          <w:szCs w:val="28"/>
          <w:highlight w:val="none"/>
        </w:rPr>
        <w:t>的违约金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w:t>
      </w:r>
      <w:r>
        <w:rPr>
          <w:rFonts w:hint="eastAsia" w:ascii="仿宋_GB2312" w:hAnsi="仿宋_GB2312" w:eastAsia="仿宋_GB2312" w:cs="仿宋_GB2312"/>
          <w:bCs/>
          <w:snapToGrid w:val="0"/>
          <w:sz w:val="28"/>
          <w:szCs w:val="28"/>
          <w:highlight w:val="none"/>
          <w:lang w:val="en-US" w:eastAsia="zh-CN"/>
        </w:rPr>
        <w:t>或</w:t>
      </w:r>
      <w:r>
        <w:rPr>
          <w:rFonts w:hint="eastAsia" w:ascii="仿宋_GB2312" w:hAnsi="仿宋_GB2312" w:eastAsia="仿宋_GB2312" w:cs="仿宋_GB2312"/>
          <w:bCs/>
          <w:snapToGrid w:val="0"/>
          <w:sz w:val="28"/>
          <w:szCs w:val="28"/>
          <w:highlight w:val="none"/>
        </w:rPr>
        <w:t>授权人）签字盖章：</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rPr>
        <w:t>此页投标价格清单需独立密封包装（一份即可）</w:t>
      </w:r>
    </w:p>
    <w:p>
      <w:pPr>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附件4：投标人情况简介</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投标人情况简介</w:t>
      </w:r>
    </w:p>
    <w:p>
      <w:pPr>
        <w:pStyle w:val="20"/>
        <w:numPr>
          <w:ilvl w:val="0"/>
          <w:numId w:val="23"/>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投标人名称：</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传真／电话：</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成立日期或注册日期：</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000000"/>
          <w:sz w:val="28"/>
          <w:szCs w:val="28"/>
          <w:highlight w:val="none"/>
        </w:rPr>
        <w:t>法定代表人或主要负责人姓名：</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人员情况：</w:t>
      </w:r>
      <w:r>
        <w:rPr>
          <w:rFonts w:hint="eastAsia" w:ascii="仿宋_GB2312" w:hAnsi="仿宋_GB2312" w:eastAsia="仿宋_GB2312" w:cs="仿宋_GB2312"/>
          <w:snapToGrid w:val="0"/>
          <w:color w:val="000000"/>
          <w:sz w:val="28"/>
          <w:szCs w:val="28"/>
          <w:highlight w:val="none"/>
        </w:rPr>
        <w:t xml:space="preserve">  </w:t>
      </w:r>
    </w:p>
    <w:tbl>
      <w:tblPr>
        <w:tblStyle w:val="32"/>
        <w:tblW w:w="8719" w:type="dxa"/>
        <w:tblInd w:w="0" w:type="dxa"/>
        <w:shd w:val="clear" w:color="auto" w:fill="auto"/>
        <w:tblLayout w:type="fixed"/>
        <w:tblCellMar>
          <w:top w:w="0" w:type="dxa"/>
          <w:left w:w="0" w:type="dxa"/>
          <w:bottom w:w="0" w:type="dxa"/>
          <w:right w:w="0" w:type="dxa"/>
        </w:tblCellMar>
      </w:tblPr>
      <w:tblGrid>
        <w:gridCol w:w="1716"/>
        <w:gridCol w:w="7003"/>
      </w:tblGrid>
      <w:tr>
        <w:tblPrEx>
          <w:shd w:val="clear" w:color="auto" w:fill="auto"/>
          <w:tblLayout w:type="fixed"/>
          <w:tblCellMar>
            <w:top w:w="0" w:type="dxa"/>
            <w:left w:w="0" w:type="dxa"/>
            <w:bottom w:w="0" w:type="dxa"/>
            <w:right w:w="0" w:type="dxa"/>
          </w:tblCellMar>
        </w:tblPrEx>
        <w:trPr>
          <w:trHeight w:val="102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总人数 </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人，研发人员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实施</w:t>
            </w:r>
            <w:r>
              <w:rPr>
                <w:rStyle w:val="125"/>
                <w:rFonts w:hint="eastAsia" w:ascii="仿宋_GB2312" w:hAnsi="仿宋_GB2312" w:eastAsia="仿宋_GB2312" w:cs="仿宋_GB2312"/>
                <w:color w:val="auto"/>
                <w:sz w:val="21"/>
                <w:szCs w:val="21"/>
                <w:highlight w:val="none"/>
                <w:lang w:val="en-US" w:eastAsia="zh-CN" w:bidi="ar"/>
              </w:rPr>
              <w:t>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测试人员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项目管理和质量管理人员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其他</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其中：持有专业类中高级证书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人，持有专业类初级证书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none"/>
                <w:lang w:val="en-US" w:eastAsia="zh-CN" w:bidi="ar"/>
              </w:rPr>
              <w:t>人</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 xml:space="preserve"> </w:t>
            </w:r>
            <w:r>
              <w:rPr>
                <w:rStyle w:val="127"/>
                <w:rFonts w:hint="eastAsia" w:ascii="仿宋_GB2312" w:hAnsi="仿宋_GB2312" w:eastAsia="仿宋_GB2312" w:cs="仿宋_GB2312"/>
                <w:color w:val="auto"/>
                <w:sz w:val="21"/>
                <w:szCs w:val="21"/>
                <w:highlight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其中：中高级职称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人，初级职称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w:t>
            </w:r>
            <w:r>
              <w:rPr>
                <w:rStyle w:val="128"/>
                <w:rFonts w:hint="eastAsia" w:ascii="仿宋_GB2312" w:hAnsi="仿宋_GB2312" w:eastAsia="仿宋_GB2312" w:cs="仿宋_GB2312"/>
                <w:color w:val="auto"/>
                <w:sz w:val="21"/>
                <w:szCs w:val="21"/>
                <w:highlight w:val="none"/>
                <w:lang w:val="en-US" w:eastAsia="zh-CN" w:bidi="ar"/>
              </w:rPr>
              <w:t>研究生及以上</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人,本科</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人，大专及以下</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9"/>
                <w:rFonts w:hint="eastAsia" w:ascii="仿宋_GB2312" w:hAnsi="仿宋_GB2312" w:eastAsia="仿宋_GB2312" w:cs="仿宋_GB2312"/>
                <w:color w:val="auto"/>
                <w:sz w:val="21"/>
                <w:szCs w:val="21"/>
                <w:highlight w:val="none"/>
                <w:u w:val="none"/>
                <w:lang w:val="en-US" w:eastAsia="zh-CN" w:bidi="ar"/>
              </w:rPr>
              <w:t>人</w:t>
            </w:r>
            <w:r>
              <w:rPr>
                <w:rStyle w:val="129"/>
                <w:rFonts w:hint="eastAsia" w:ascii="仿宋_GB2312" w:hAnsi="仿宋_GB2312" w:eastAsia="仿宋_GB2312" w:cs="仿宋_GB2312"/>
                <w:color w:val="auto"/>
                <w:sz w:val="21"/>
                <w:szCs w:val="21"/>
                <w:highlight w:val="none"/>
                <w:lang w:val="en-US" w:eastAsia="zh-CN" w:bidi="ar"/>
              </w:rPr>
              <w:t xml:space="preserve">   </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三、</w:t>
      </w:r>
      <w:r>
        <w:rPr>
          <w:rFonts w:hint="eastAsia" w:ascii="仿宋_GB2312" w:hAnsi="仿宋_GB2312" w:eastAsia="仿宋_GB2312" w:cs="仿宋_GB2312"/>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none"/>
        </w:rPr>
      </w:pPr>
      <w:r>
        <w:rPr>
          <w:rFonts w:hint="eastAsia" w:ascii="仿宋_GB2312" w:hAnsi="仿宋_GB2312" w:eastAsia="仿宋_GB2312" w:cs="仿宋_GB2312"/>
          <w:snapToGrid w:val="0"/>
          <w:color w:val="000000"/>
          <w:sz w:val="28"/>
          <w:szCs w:val="28"/>
          <w:highlight w:val="none"/>
          <w:u w:val="none"/>
        </w:rPr>
        <w:t>经营状况及业绩（近三年资产总额、负债总额、年产值、年销售收入、年利润））</w:t>
      </w:r>
    </w:p>
    <w:tbl>
      <w:tblPr>
        <w:tblStyle w:val="32"/>
        <w:tblW w:w="8922" w:type="dxa"/>
        <w:tblInd w:w="0" w:type="dxa"/>
        <w:tblLayout w:type="fixed"/>
        <w:tblCellMar>
          <w:top w:w="0" w:type="dxa"/>
          <w:left w:w="108" w:type="dxa"/>
          <w:bottom w:w="0" w:type="dxa"/>
          <w:right w:w="108" w:type="dxa"/>
        </w:tblCellMar>
      </w:tblPr>
      <w:tblGrid>
        <w:gridCol w:w="2984"/>
        <w:gridCol w:w="2431"/>
        <w:gridCol w:w="1713"/>
        <w:gridCol w:w="1794"/>
      </w:tblGrid>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项 目\年 份</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注册资本（万元）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 产 值（万元）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年销售收入（万元）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285" w:hRule="atLeast"/>
        </w:trPr>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净 利 润（万元）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资产总额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负债总额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净资产增长率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销售收入增长率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1.资产总额、负债总额应以具有资质的中介机构鉴证的企业会计报表期末数为准。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val="en-US" w:eastAsia="zh-CN"/>
        </w:rPr>
        <w:t>2.净资产增长率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（1）净资产增长率＝1/2（第二年末净资产÷第一年末净资产＋第三年末净资产÷第二年末净资产）-1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eastAsia="zh-CN"/>
        </w:rPr>
        <w:t>（2）净资产＝资产总额 － 负债总额</w:t>
      </w:r>
      <w:r>
        <w:rPr>
          <w:rFonts w:hint="eastAsia" w:ascii="仿宋_GB2312" w:hAnsi="仿宋_GB2312" w:eastAsia="仿宋_GB2312" w:cs="仿宋_GB2312"/>
          <w:snapToGrid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val="en-US" w:eastAsia="zh-CN"/>
        </w:rPr>
        <w:t>3.</w:t>
      </w:r>
      <w:r>
        <w:rPr>
          <w:rFonts w:hint="eastAsia" w:ascii="仿宋_GB2312" w:hAnsi="仿宋_GB2312" w:eastAsia="仿宋_GB2312" w:cs="仿宋_GB2312"/>
          <w:snapToGrid w:val="0"/>
          <w:color w:val="auto"/>
          <w:sz w:val="24"/>
          <w:szCs w:val="24"/>
          <w:highlight w:val="none"/>
          <w:lang w:eastAsia="zh-CN"/>
        </w:rPr>
        <w:t>销售收入增长率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销售收入增长率＝1/2（第二年销售收入÷第一年销售收入＋第三年销售收入÷第二年销售收入）-1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auto"/>
          <w:sz w:val="24"/>
          <w:szCs w:val="24"/>
          <w:highlight w:val="none"/>
          <w:lang w:eastAsia="zh-CN"/>
        </w:rPr>
        <w:t>企业净资产增长率或销售收入增长率为负的，按0分计算；第一年末净资产或销售收入为0的，按后两年计算；第二年末净资产或销售收入</w:t>
      </w:r>
      <w:r>
        <w:rPr>
          <w:rFonts w:hint="eastAsia" w:ascii="仿宋_GB2312" w:hAnsi="仿宋_GB2312" w:eastAsia="仿宋_GB2312" w:cs="仿宋_GB2312"/>
          <w:snapToGrid w:val="0"/>
          <w:sz w:val="24"/>
          <w:szCs w:val="24"/>
          <w:highlight w:val="none"/>
          <w:lang w:eastAsia="zh-CN"/>
        </w:rPr>
        <w:t xml:space="preserve">为0的，按0分计算。  </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业绩或服务的情况：</w:t>
      </w: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eastAsia="zh-CN"/>
        </w:rPr>
        <w:t>成立</w:t>
      </w:r>
      <w:r>
        <w:rPr>
          <w:rFonts w:hint="eastAsia" w:ascii="仿宋_GB2312" w:hAnsi="仿宋_GB2312" w:eastAsia="仿宋_GB2312" w:cs="仿宋_GB2312"/>
          <w:snapToGrid w:val="0"/>
          <w:color w:val="000000"/>
          <w:sz w:val="28"/>
          <w:szCs w:val="28"/>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p>
    <w:p>
      <w:pPr>
        <w:pStyle w:val="20"/>
        <w:tabs>
          <w:tab w:val="left" w:pos="360"/>
        </w:tabs>
        <w:adjustRightInd w:val="0"/>
        <w:rPr>
          <w:rFonts w:hint="eastAsia" w:ascii="仿宋_GB2312" w:hAnsi="仿宋_GB2312" w:eastAsia="仿宋_GB2312" w:cs="仿宋_GB2312"/>
          <w:snapToGrid w:val="0"/>
          <w:color w:val="000000"/>
          <w:sz w:val="28"/>
          <w:szCs w:val="28"/>
          <w:highlight w:val="none"/>
        </w:rPr>
      </w:pP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val="en-US" w:eastAsia="zh-CN"/>
        </w:rPr>
        <w:t>五、</w:t>
      </w:r>
      <w:r>
        <w:rPr>
          <w:rFonts w:hint="eastAsia" w:ascii="仿宋_GB2312" w:hAnsi="仿宋_GB2312" w:eastAsia="仿宋_GB2312" w:cs="仿宋_GB2312"/>
          <w:snapToGrid w:val="0"/>
          <w:color w:val="000000"/>
          <w:sz w:val="28"/>
          <w:szCs w:val="28"/>
          <w:highlight w:val="none"/>
        </w:rPr>
        <w:t xml:space="preserve">所属集团（如有的话）：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sz w:val="28"/>
          <w:szCs w:val="28"/>
          <w:highlight w:val="none"/>
          <w:lang w:val="en-US" w:eastAsia="zh-CN"/>
        </w:rPr>
        <w:t>六、其它情况</w:t>
      </w:r>
    </w:p>
    <w:p>
      <w:pPr>
        <w:pStyle w:val="20"/>
        <w:numPr>
          <w:ilvl w:val="0"/>
          <w:numId w:val="0"/>
        </w:numPr>
        <w:adjustRightInd w:val="0"/>
        <w:ind w:leftChars="-166"/>
        <w:rPr>
          <w:rFonts w:hint="eastAsia" w:ascii="仿宋_GB2312" w:hAnsi="仿宋_GB2312" w:eastAsia="仿宋_GB2312" w:cs="仿宋_GB2312"/>
          <w:snapToGrid w:val="0"/>
          <w:color w:val="000000"/>
          <w:kern w:val="2"/>
          <w:sz w:val="28"/>
          <w:szCs w:val="28"/>
          <w:highlight w:val="none"/>
          <w:lang w:val="en-US" w:eastAsia="zh-CN" w:bidi="ar-SA"/>
        </w:rPr>
      </w:pPr>
    </w:p>
    <w:p>
      <w:pPr>
        <w:pStyle w:val="20"/>
        <w:widowControl w:val="0"/>
        <w:numPr>
          <w:ilvl w:val="0"/>
          <w:numId w:val="0"/>
        </w:numPr>
        <w:adjustRightInd w:val="0"/>
        <w:jc w:val="both"/>
        <w:rPr>
          <w:rFonts w:hint="eastAsia" w:ascii="仿宋_GB2312" w:hAnsi="仿宋_GB2312" w:eastAsia="仿宋_GB2312" w:cs="仿宋_GB2312"/>
          <w:snapToGrid w:val="0"/>
          <w:color w:val="000000"/>
          <w:kern w:val="2"/>
          <w:sz w:val="28"/>
          <w:szCs w:val="28"/>
          <w:highlight w:val="none"/>
          <w:lang w:val="en-US" w:eastAsia="zh-CN" w:bidi="ar-SA"/>
        </w:rPr>
      </w:pPr>
    </w:p>
    <w:p>
      <w:pPr>
        <w:pStyle w:val="123"/>
        <w:adjustRightInd w:val="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kern w:val="2"/>
          <w:sz w:val="28"/>
          <w:szCs w:val="28"/>
          <w:highlight w:val="none"/>
          <w:lang w:val="en-US" w:eastAsia="zh-CN" w:bidi="ar-SA"/>
        </w:rPr>
        <w:br w:type="page"/>
      </w:r>
      <w:r>
        <w:rPr>
          <w:rFonts w:hint="eastAsia" w:ascii="仿宋_GB2312" w:hAnsi="仿宋_GB2312" w:eastAsia="仿宋_GB2312" w:cs="仿宋_GB2312"/>
          <w:snapToGrid w:val="0"/>
          <w:color w:val="000000"/>
          <w:sz w:val="28"/>
          <w:szCs w:val="28"/>
          <w:highlight w:val="none"/>
        </w:rPr>
        <w:t>附件5：外包服务供应商风险信息表</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服务供应商名称</w:t>
            </w:r>
          </w:p>
        </w:tc>
        <w:tc>
          <w:tcPr>
            <w:tcW w:w="5880" w:type="dxa"/>
            <w:vAlign w:val="center"/>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1.服务供应商成立时间及其发展历程</w:t>
            </w:r>
          </w:p>
        </w:tc>
        <w:tc>
          <w:tcPr>
            <w:tcW w:w="5880" w:type="dxa"/>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2.服务供应商的主要股东</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10.提供企业相关资质（如有）</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11.提供核心产品或服务</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（1）自主产品或服务：</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服务供应商（盖章）：                                </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p>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日期：</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w:t>
            </w:r>
          </w:p>
        </w:tc>
      </w:tr>
    </w:tbl>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附件6：业务需求与实施方案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预估实施周期：12月0天（按工作日测算）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维保阶段：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7</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1</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bCs/>
          <w:snapToGrid w:val="0"/>
          <w:sz w:val="28"/>
          <w:szCs w:val="28"/>
          <w:highlight w:val="none"/>
          <w:lang w:val="en-US" w:eastAsia="zh-CN"/>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2025</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lang w:val="en-US" w:eastAsia="zh-CN"/>
        </w:rPr>
        <w:t xml:space="preserve"> </w:t>
      </w:r>
      <w:r>
        <w:rPr>
          <w:rFonts w:hint="eastAsia" w:ascii="仿宋_GB2312" w:hAnsi="仿宋_GB2312" w:eastAsia="仿宋_GB2312" w:cs="仿宋_GB2312"/>
          <w:snapToGrid w:val="0"/>
          <w:color w:val="000000"/>
          <w:sz w:val="28"/>
          <w:szCs w:val="28"/>
          <w:highlight w:val="none"/>
          <w:u w:val="single"/>
          <w:lang w:val="en-US" w:eastAsia="zh-CN"/>
        </w:rPr>
        <w:t>6</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30</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bCs/>
          <w:i/>
          <w:iCs/>
          <w:sz w:val="24"/>
          <w:szCs w:val="24"/>
          <w:highlight w:val="none"/>
          <w:lang w:val="en-US" w:eastAsia="zh-CN"/>
        </w:rPr>
      </w:pPr>
      <w:r>
        <w:rPr>
          <w:rFonts w:hint="eastAsia" w:ascii="仿宋_GB2312" w:hAnsi="仿宋_GB2312" w:eastAsia="仿宋_GB2312" w:cs="仿宋_GB2312"/>
          <w:sz w:val="28"/>
          <w:szCs w:val="28"/>
          <w:highlight w:val="none"/>
          <w:u w:val="none"/>
        </w:rPr>
        <w:t>本运维服务主要针对</w:t>
      </w:r>
      <w:r>
        <w:rPr>
          <w:rFonts w:hint="eastAsia" w:ascii="仿宋_GB2312" w:hAnsi="仿宋_GB2312" w:eastAsia="仿宋_GB2312" w:cs="仿宋_GB2312"/>
          <w:sz w:val="28"/>
          <w:szCs w:val="28"/>
          <w:highlight w:val="none"/>
          <w:u w:val="none"/>
          <w:shd w:val="clear" w:color="auto" w:fill="auto"/>
        </w:rPr>
        <w:t>“</w:t>
      </w:r>
      <w:r>
        <w:rPr>
          <w:rFonts w:hint="eastAsia" w:ascii="仿宋_GB2312" w:hAnsi="仿宋_GB2312" w:eastAsia="仿宋_GB2312" w:cs="仿宋_GB2312"/>
          <w:b w:val="0"/>
          <w:color w:val="auto"/>
          <w:kern w:val="0"/>
          <w:sz w:val="28"/>
          <w:szCs w:val="28"/>
          <w:highlight w:val="none"/>
          <w:shd w:val="clear" w:fill="FFFFFF"/>
          <w:lang w:val="en-US" w:eastAsia="zh-CN" w:bidi="ar"/>
        </w:rPr>
        <w:t>MPaaS维保采购项目</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所涉及的</w:t>
      </w:r>
      <w:r>
        <w:rPr>
          <w:rFonts w:hint="eastAsia" w:ascii="仿宋_GB2312" w:hAnsi="仿宋_GB2312" w:eastAsia="仿宋_GB2312" w:cs="仿宋_GB2312"/>
          <w:sz w:val="28"/>
          <w:szCs w:val="28"/>
          <w:highlight w:val="none"/>
          <w:u w:val="none"/>
        </w:rPr>
        <w:t>已部署的生产、容灾、测试三套环境功能模块提供系统运行过程的技术支持和相关服务。</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服务标准及验收要求</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560" w:firstLineChars="200"/>
        <w:jc w:val="left"/>
        <w:textAlignment w:val="auto"/>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sz w:val="28"/>
          <w:szCs w:val="28"/>
          <w:highlight w:val="none"/>
        </w:rPr>
        <w:t>在本合同时效范围内，乙方指派技术工程师负责日常维护提供支持及联络，了解甲方的意见、需求系统的运行状况，并提供</w:t>
      </w:r>
      <w:r>
        <w:rPr>
          <w:rFonts w:hint="eastAsia" w:ascii="仿宋_GB2312" w:hAnsi="仿宋_GB2312" w:eastAsia="仿宋_GB2312" w:cs="仿宋_GB2312"/>
          <w:b w:val="0"/>
          <w:bCs w:val="0"/>
          <w:sz w:val="28"/>
          <w:szCs w:val="28"/>
          <w:highlight w:val="none"/>
          <w:u w:val="none"/>
        </w:rPr>
        <w:t>技术支持、系统升级、系统巡检</w:t>
      </w:r>
      <w:r>
        <w:rPr>
          <w:rFonts w:hint="eastAsia" w:ascii="仿宋_GB2312" w:hAnsi="仿宋_GB2312" w:eastAsia="仿宋_GB2312" w:cs="仿宋_GB2312"/>
          <w:b w:val="0"/>
          <w:bCs w:val="0"/>
          <w:sz w:val="28"/>
          <w:szCs w:val="28"/>
          <w:highlight w:val="none"/>
          <w:u w:val="none"/>
          <w:lang w:eastAsia="zh-CN"/>
        </w:rPr>
        <w:t>、护航保障</w:t>
      </w:r>
      <w:r>
        <w:rPr>
          <w:rFonts w:hint="eastAsia" w:ascii="仿宋_GB2312" w:hAnsi="仿宋_GB2312" w:eastAsia="仿宋_GB2312" w:cs="仿宋_GB2312"/>
          <w:sz w:val="28"/>
          <w:szCs w:val="28"/>
          <w:highlight w:val="none"/>
        </w:rPr>
        <w:t>等相关服务。</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1、投标产品应提供多法人解决方案，包括但不限于招标方、兴福系投资管理行、村镇银行及第三方等多法人模式。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3、投标产品涉及相关系统单元测试覆盖率应达到60%以上，覆盖率测算数据由招标方提供。</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投标方应在产品上线后提供项目涉及的全部源码（含必须的代码注释及开发平台层的源码）、项</w:t>
      </w:r>
      <w:r>
        <w:rPr>
          <w:rFonts w:hint="eastAsia" w:ascii="仿宋_GB2312" w:hAnsi="仿宋_GB2312" w:eastAsia="仿宋_GB2312" w:cs="仿宋_GB2312"/>
          <w:sz w:val="28"/>
          <w:szCs w:val="28"/>
          <w:highlight w:val="none"/>
          <w:lang w:eastAsia="zh-CN"/>
        </w:rPr>
        <w:t>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投标方</w:t>
      </w:r>
      <w:r>
        <w:rPr>
          <w:rFonts w:hint="eastAsia" w:ascii="仿宋_GB2312" w:hAnsi="仿宋_GB2312" w:eastAsia="仿宋_GB2312" w:cs="仿宋_GB2312"/>
          <w:sz w:val="28"/>
          <w:szCs w:val="28"/>
          <w:highlight w:val="none"/>
        </w:rPr>
        <w:t>提供产品</w:t>
      </w:r>
      <w:r>
        <w:rPr>
          <w:rFonts w:hint="eastAsia" w:ascii="仿宋_GB2312" w:hAnsi="仿宋_GB2312" w:eastAsia="仿宋_GB2312" w:cs="仿宋_GB2312"/>
          <w:sz w:val="28"/>
          <w:szCs w:val="28"/>
          <w:highlight w:val="none"/>
          <w:lang w:eastAsia="zh-CN"/>
        </w:rPr>
        <w:t>或</w:t>
      </w:r>
      <w:r>
        <w:rPr>
          <w:rFonts w:hint="eastAsia" w:ascii="仿宋_GB2312" w:hAnsi="仿宋_GB2312" w:eastAsia="仿宋_GB2312" w:cs="仿宋_GB2312"/>
          <w:sz w:val="28"/>
          <w:szCs w:val="28"/>
          <w:highlight w:val="none"/>
        </w:rPr>
        <w:t>服务中涉及</w:t>
      </w:r>
      <w:r>
        <w:rPr>
          <w:rFonts w:hint="eastAsia" w:ascii="仿宋_GB2312" w:hAnsi="仿宋_GB2312" w:eastAsia="仿宋_GB2312" w:cs="仿宋_GB2312"/>
          <w:sz w:val="28"/>
          <w:szCs w:val="28"/>
          <w:highlight w:val="none"/>
          <w:lang w:eastAsia="zh-CN"/>
        </w:rPr>
        <w:t>包括但不限于</w:t>
      </w:r>
      <w:r>
        <w:rPr>
          <w:rFonts w:hint="eastAsia" w:ascii="仿宋_GB2312" w:hAnsi="仿宋_GB2312" w:eastAsia="仿宋_GB2312" w:cs="仿宋_GB2312"/>
          <w:sz w:val="28"/>
          <w:szCs w:val="28"/>
          <w:highlight w:val="none"/>
        </w:rPr>
        <w:t>第三方软件</w:t>
      </w:r>
      <w:r>
        <w:rPr>
          <w:rFonts w:hint="eastAsia" w:ascii="仿宋_GB2312" w:hAnsi="仿宋_GB2312" w:eastAsia="仿宋_GB2312" w:cs="仿宋_GB2312"/>
          <w:sz w:val="28"/>
          <w:szCs w:val="28"/>
          <w:highlight w:val="none"/>
          <w:lang w:eastAsia="zh-CN"/>
        </w:rPr>
        <w:t>、第三方组件、插件、控件等，</w:t>
      </w:r>
      <w:r>
        <w:rPr>
          <w:rFonts w:hint="eastAsia" w:ascii="仿宋_GB2312" w:hAnsi="仿宋_GB2312" w:eastAsia="仿宋_GB2312" w:cs="仿宋_GB2312"/>
          <w:sz w:val="28"/>
          <w:szCs w:val="28"/>
          <w:highlight w:val="none"/>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开源协议选择</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技术选型要求：开源软件技术选型应与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信息化建设方向一致，服务于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业务发展，方向包括：互联网、分布式、微服务、云计算、大数据、人工智能等</w:t>
      </w:r>
      <w:r>
        <w:rPr>
          <w:rFonts w:hint="eastAsia" w:ascii="仿宋_GB2312" w:hAnsi="仿宋_GB2312" w:eastAsia="仿宋_GB2312" w:cs="仿宋_GB2312"/>
          <w:sz w:val="28"/>
          <w:szCs w:val="28"/>
          <w:highlight w:val="none"/>
          <w:lang w:eastAsia="zh-CN"/>
        </w:rPr>
        <w:t>。</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成熟度要求：</w:t>
      </w:r>
      <w:r>
        <w:rPr>
          <w:rFonts w:hint="eastAsia" w:ascii="仿宋_GB2312" w:hAnsi="仿宋_GB2312" w:eastAsia="仿宋_GB2312" w:cs="仿宋_GB2312"/>
          <w:sz w:val="28"/>
          <w:szCs w:val="28"/>
          <w:highlight w:val="none"/>
          <w:lang w:eastAsia="zh-CN"/>
        </w:rPr>
        <w:t>开源软件</w:t>
      </w:r>
      <w:r>
        <w:rPr>
          <w:rFonts w:hint="eastAsia" w:ascii="仿宋_GB2312" w:hAnsi="仿宋_GB2312" w:eastAsia="仿宋_GB2312" w:cs="仿宋_GB2312"/>
          <w:sz w:val="28"/>
          <w:szCs w:val="28"/>
          <w:highlight w:val="none"/>
        </w:rPr>
        <w:t>应使用业界公认成熟的开源软件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6、投标方应主动配合我行每季度的开源软件安全检查，</w:t>
      </w:r>
      <w:r>
        <w:rPr>
          <w:rFonts w:hint="eastAsia" w:ascii="仿宋_GB2312" w:hAnsi="仿宋_GB2312" w:eastAsia="仿宋_GB2312" w:cs="仿宋_GB2312"/>
          <w:sz w:val="28"/>
          <w:szCs w:val="28"/>
          <w:highlight w:val="none"/>
        </w:rPr>
        <w:t>第三方或开源组件出现安全漏洞时，</w:t>
      </w:r>
      <w:r>
        <w:rPr>
          <w:rFonts w:hint="eastAsia" w:ascii="仿宋_GB2312" w:hAnsi="仿宋_GB2312" w:eastAsia="仿宋_GB2312" w:cs="仿宋_GB2312"/>
          <w:sz w:val="28"/>
          <w:szCs w:val="28"/>
          <w:highlight w:val="none"/>
          <w:lang w:eastAsia="zh-CN"/>
        </w:rPr>
        <w:t>投标方应及时配合我行整改并</w:t>
      </w:r>
      <w:r>
        <w:rPr>
          <w:rFonts w:hint="eastAsia" w:ascii="仿宋_GB2312" w:hAnsi="仿宋_GB2312" w:eastAsia="仿宋_GB2312" w:cs="仿宋_GB2312"/>
          <w:sz w:val="28"/>
          <w:szCs w:val="28"/>
          <w:highlight w:val="none"/>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Layout w:type="fixed"/>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sz w:val="21"/>
                <w:szCs w:val="21"/>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bl>
    <w:p>
      <w:pPr>
        <w:numPr>
          <w:ilvl w:val="0"/>
          <w:numId w:val="0"/>
        </w:numPr>
        <w:adjustRightInd w:val="0"/>
        <w:ind w:leftChars="270"/>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系统架构规划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1.系统架构图（我行已建立ESB企业服务总线、数据总线、业务中台）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2.硬件拓补图（请从附表我行支持软硬件清单中选择所需硬件类型，超出范围的请标注）</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项目进度和质量保障方案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项目风险评估与控制方案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培训和售后服务方案</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系统性能要求</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述标中说明满足以下性能要求所需的硬件配置。至少说明部署方式，以及服务器类型、服务器数量、CPU核数、内存容量、存储容量。</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系统整体性能支持招标方未来</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年的业务发展要求，满足客户数</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万、账户数</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的数据要求。</w:t>
      </w:r>
      <w:r>
        <w:rPr>
          <w:rFonts w:hint="eastAsia" w:ascii="仿宋_GB2312" w:hAnsi="仿宋_GB2312" w:eastAsia="仿宋_GB2312" w:cs="仿宋_GB2312"/>
          <w:sz w:val="28"/>
          <w:szCs w:val="28"/>
          <w:highlight w:val="none"/>
          <w:lang w:eastAsia="zh-CN"/>
        </w:rPr>
        <w:t>【数据纬度可调整】</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平均响应时间是指从请求发起至接收到回执所需的平均时间。不考虑网络延迟等因素，</w:t>
      </w:r>
      <w:r>
        <w:rPr>
          <w:rFonts w:hint="eastAsia" w:ascii="仿宋_GB2312" w:hAnsi="仿宋_GB2312" w:eastAsia="仿宋_GB2312" w:cs="仿宋_GB2312"/>
          <w:sz w:val="28"/>
          <w:szCs w:val="28"/>
          <w:highlight w:val="none"/>
          <w:lang w:eastAsia="zh-CN"/>
        </w:rPr>
        <w:t>查询类交易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00毫秒，</w:t>
      </w:r>
      <w:r>
        <w:rPr>
          <w:rFonts w:hint="eastAsia" w:ascii="仿宋_GB2312" w:hAnsi="仿宋_GB2312" w:eastAsia="仿宋_GB2312" w:cs="仿宋_GB2312"/>
          <w:sz w:val="28"/>
          <w:szCs w:val="28"/>
          <w:highlight w:val="none"/>
          <w:lang w:eastAsia="zh-CN"/>
        </w:rPr>
        <w:t>账务类交易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00毫秒</w:t>
      </w:r>
      <w:r>
        <w:rPr>
          <w:rFonts w:hint="eastAsia" w:ascii="仿宋_GB2312" w:hAnsi="仿宋_GB2312" w:eastAsia="仿宋_GB2312" w:cs="仿宋_GB2312"/>
          <w:sz w:val="28"/>
          <w:szCs w:val="28"/>
          <w:highlight w:val="none"/>
          <w:lang w:eastAsia="zh-CN"/>
        </w:rPr>
        <w:t>，后管类交易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00毫秒。</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并发用户数是指同一时刻系统处理的请求数，系统稳定运行下应支持实时联机业务并发用户数不小于</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吞吐量是指系统稳定运行状态下每秒钟处理的事务数，系统应达到交易吞吐量</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笔/秒。</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交易成功率是指成功交易数占总交易数的比例。为了保证系统的稳定运行，在满足交易响应时间和并发交易数量的前提下，交易成功率需达到100%。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交易正确率是指处理和数据完全正确的交易数占成功交易数的比例。在满足交易响应时间和并发交易数量的前提下，交易正确率应达到100%。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系统资源占用率：为了保证系统能够正常、稳定运行，推荐配置的服务器在业务最高峰时CPU占用率和内存使用率不应超过60%。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系统未来可通过灵活增配服务器支持实现横向线性扩展，满足系统性能容量的持续扩增要求。</w:t>
      </w:r>
      <w:r>
        <w:rPr>
          <w:rFonts w:hint="eastAsia" w:ascii="仿宋_GB2312" w:hAnsi="仿宋_GB2312" w:eastAsia="仿宋_GB2312" w:cs="仿宋_GB2312"/>
          <w:sz w:val="28"/>
          <w:szCs w:val="28"/>
          <w:highlight w:val="none"/>
          <w:lang w:eastAsia="zh-CN"/>
        </w:rPr>
        <w:t>【可选】</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一般交易日批量处理时间不超过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分钟，特殊交易日(月终、年终、结息日等)批量处理时间不超过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分钟</w:t>
      </w:r>
      <w:r>
        <w:rPr>
          <w:rFonts w:hint="eastAsia" w:ascii="仿宋_GB2312" w:hAnsi="仿宋_GB2312" w:eastAsia="仿宋_GB2312" w:cs="仿宋_GB2312"/>
          <w:sz w:val="28"/>
          <w:szCs w:val="28"/>
          <w:highlight w:val="none"/>
          <w:lang w:eastAsia="zh-CN"/>
        </w:rPr>
        <w:t>。【可选】</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提供性能压力测试计划和验收标准，以及测试方案、环境、工具和调试策略（相应的报告文档），并负责完成压力测试，确保系统能满足上述性能容量要求。</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系统的性能要求包括但不限于上述所列。</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对于满足以下条件的之一的项目，由投标人负责性能测试实施：</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新引入的交易类系统，且非查询类交易量小于等于</w:t>
      </w:r>
      <w:r>
        <w:rPr>
          <w:rFonts w:hint="eastAsia" w:ascii="仿宋_GB2312" w:hAnsi="仿宋_GB2312" w:eastAsia="仿宋_GB2312" w:cs="仿宋_GB2312"/>
          <w:sz w:val="28"/>
          <w:szCs w:val="28"/>
          <w:highlight w:val="none"/>
          <w:lang w:val="en-US" w:eastAsia="zh-CN"/>
        </w:rPr>
        <w:t>100笔/天或活跃用户数</w:t>
      </w:r>
      <w:r>
        <w:rPr>
          <w:rFonts w:hint="eastAsia" w:ascii="仿宋_GB2312" w:hAnsi="仿宋_GB2312" w:eastAsia="仿宋_GB2312" w:cs="仿宋_GB2312"/>
          <w:sz w:val="28"/>
          <w:szCs w:val="28"/>
          <w:highlight w:val="none"/>
          <w:lang w:eastAsia="zh-CN"/>
        </w:rPr>
        <w:t>小于等于</w:t>
      </w:r>
      <w:r>
        <w:rPr>
          <w:rFonts w:hint="eastAsia" w:ascii="仿宋_GB2312" w:hAnsi="仿宋_GB2312" w:eastAsia="仿宋_GB2312" w:cs="仿宋_GB2312"/>
          <w:sz w:val="28"/>
          <w:szCs w:val="28"/>
          <w:highlight w:val="none"/>
          <w:lang w:val="en-US" w:eastAsia="zh-CN"/>
        </w:rPr>
        <w:t>50户</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新引入的管理类系统</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改造的存量交易类系统，且</w:t>
      </w:r>
      <w:r>
        <w:rPr>
          <w:rFonts w:hint="eastAsia" w:ascii="仿宋_GB2312" w:hAnsi="仿宋_GB2312" w:eastAsia="仿宋_GB2312" w:cs="仿宋_GB2312"/>
          <w:sz w:val="28"/>
          <w:szCs w:val="28"/>
          <w:highlight w:val="none"/>
          <w:lang w:eastAsia="zh-CN"/>
        </w:rPr>
        <w:t>非查询类交易量大于</w:t>
      </w:r>
      <w:r>
        <w:rPr>
          <w:rFonts w:hint="eastAsia" w:ascii="仿宋_GB2312" w:hAnsi="仿宋_GB2312" w:eastAsia="仿宋_GB2312" w:cs="仿宋_GB2312"/>
          <w:sz w:val="28"/>
          <w:szCs w:val="28"/>
          <w:highlight w:val="none"/>
          <w:lang w:val="en-US" w:eastAsia="zh-CN"/>
        </w:rPr>
        <w:t>1000笔/天且活跃用户数大于100户，且改造内容涉及重要对客功能或涉及系统架构类变更</w:t>
      </w:r>
    </w:p>
    <w:p>
      <w:pPr>
        <w:pStyle w:val="131"/>
        <w:numPr>
          <w:ilvl w:val="0"/>
          <w:numId w:val="27"/>
        </w:numPr>
        <w:spacing w:line="360" w:lineRule="auto"/>
        <w:ind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对于由招标人负责性能测试实施的项目，由投标人配合完成包括但不限于以下工作内容：</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配合完成性能测试环境搭建</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配合完成铺底数据预埋</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配合完成性能测试脚本开发</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配合完成性能测试监控与调优</w:t>
      </w:r>
    </w:p>
    <w:p>
      <w:pPr>
        <w:pStyle w:val="131"/>
        <w:numPr>
          <w:ilvl w:val="0"/>
          <w:numId w:val="29"/>
        </w:numPr>
        <w:spacing w:line="360" w:lineRule="auto"/>
        <w:ind w:left="480" w:firstLine="419"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配合完成性能测试方案与报告评审</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（1）我行支持软件清单（版本号详细询项目经理）</w:t>
      </w:r>
    </w:p>
    <w:tbl>
      <w:tblPr>
        <w:tblStyle w:val="32"/>
        <w:tblW w:w="7645" w:type="dxa"/>
        <w:jc w:val="center"/>
        <w:tblInd w:w="0" w:type="dxa"/>
        <w:shd w:val="clear" w:color="auto" w:fill="auto"/>
        <w:tblLayout w:type="fixed"/>
        <w:tblCellMar>
          <w:top w:w="0" w:type="dxa"/>
          <w:left w:w="0" w:type="dxa"/>
          <w:bottom w:w="0" w:type="dxa"/>
          <w:right w:w="0" w:type="dxa"/>
        </w:tblCellMar>
      </w:tblPr>
      <w:tblGrid>
        <w:gridCol w:w="2087"/>
        <w:gridCol w:w="2321"/>
        <w:gridCol w:w="3237"/>
      </w:tblGrid>
      <w:tr>
        <w:tblPrEx>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软件类型</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软件名称</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suse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如涉及db2建议使用suse。</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适用于裸机环境部署。</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Win Server</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原则上要求在linux环境运行，不建议安装windows server</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AIX</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麒麟</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开发平台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HELP</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推荐使用5.x版本，</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中间件</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东方通</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宝兰德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tomcat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WebSphere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对象存储</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XSKY</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消息队列</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IBM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Kafka</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Rabbit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缓存数据库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Redis</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大数据平台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CDH</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OceanBase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Oracle模式/MySQL模式。</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MySQL</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Kingwow</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DB2</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（2）我行支持硬件清单</w:t>
      </w:r>
    </w:p>
    <w:tbl>
      <w:tblPr>
        <w:tblStyle w:val="32"/>
        <w:tblW w:w="780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972"/>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硬件名称</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基本配置</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云主机（x86）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4C/8G/100G</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云主机（ARM)</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4C/8G/100G</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鲲鹏920芯片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Docker容器（x86）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1C/2G/无存储</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K8S编排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PC服务器（x86）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Intel至强2代CPU/256G（8*32G）/4*600G SAS/Raid (0、1、5)/千兆电口网卡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1"/>
                <w:szCs w:val="21"/>
                <w:highlight w:val="none"/>
                <w:u w:val="none"/>
              </w:rPr>
            </w:pPr>
          </w:p>
        </w:tc>
      </w:tr>
    </w:tbl>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br w:type="page"/>
      </w:r>
    </w:p>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附件7：产品功能表与需求匹配度</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bl>
    <w:p>
      <w:pPr>
        <w:rPr>
          <w:rFonts w:hint="eastAsia" w:ascii="仿宋_GB2312" w:hAnsi="仿宋_GB2312" w:eastAsia="仿宋_GB2312" w:cs="仿宋_GB2312"/>
          <w:sz w:val="21"/>
          <w:szCs w:val="21"/>
          <w:highlight w:val="none"/>
          <w:lang w:val="en-US" w:eastAsia="zh-CN"/>
        </w:rPr>
      </w:pPr>
    </w:p>
    <w:p>
      <w:pPr>
        <w:rPr>
          <w:rFonts w:hint="eastAsia" w:ascii="仿宋_GB2312" w:hAnsi="仿宋_GB2312" w:eastAsia="仿宋_GB2312" w:cs="仿宋_GB2312"/>
          <w:sz w:val="21"/>
          <w:szCs w:val="21"/>
          <w:highlight w:val="none"/>
          <w:lang w:val="en-US" w:eastAsia="zh-CN"/>
        </w:rPr>
      </w:pPr>
    </w:p>
    <w:p>
      <w:pPr>
        <w:pStyle w:val="3"/>
        <w:spacing w:after="0" w:line="240" w:lineRule="auto"/>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项目实施人员一览表</w:t>
      </w:r>
    </w:p>
    <w:tbl>
      <w:tblPr>
        <w:tblStyle w:val="3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19"/>
        <w:gridCol w:w="711"/>
        <w:gridCol w:w="666"/>
        <w:gridCol w:w="1514"/>
        <w:gridCol w:w="1144"/>
        <w:gridCol w:w="118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角色</w:t>
            </w:r>
          </w:p>
        </w:tc>
        <w:tc>
          <w:tcPr>
            <w:tcW w:w="91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姓名</w:t>
            </w:r>
          </w:p>
        </w:tc>
        <w:tc>
          <w:tcPr>
            <w:tcW w:w="711"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公司职务</w:t>
            </w:r>
          </w:p>
        </w:tc>
        <w:tc>
          <w:tcPr>
            <w:tcW w:w="666"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工作年限</w:t>
            </w:r>
          </w:p>
        </w:tc>
        <w:tc>
          <w:tcPr>
            <w:tcW w:w="151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参与阶段/主要工作</w:t>
            </w:r>
          </w:p>
        </w:tc>
        <w:tc>
          <w:tcPr>
            <w:tcW w:w="114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进场时间</w:t>
            </w:r>
          </w:p>
        </w:tc>
        <w:tc>
          <w:tcPr>
            <w:tcW w:w="118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离场时间</w:t>
            </w:r>
          </w:p>
        </w:tc>
        <w:tc>
          <w:tcPr>
            <w:tcW w:w="117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lang w:eastAsia="zh-CN"/>
              </w:rPr>
              <w:t>持</w:t>
            </w:r>
            <w:r>
              <w:rPr>
                <w:rFonts w:hint="eastAsia" w:ascii="仿宋_GB2312" w:hAnsi="仿宋_GB2312" w:eastAsia="仿宋_GB2312" w:cs="仿宋_GB2312"/>
                <w:b/>
                <w:sz w:val="21"/>
                <w:szCs w:val="21"/>
                <w:highlight w:val="none"/>
                <w:lang w:val="en-US" w:eastAsia="zh-CN"/>
              </w:rPr>
              <w:t>有专业类证书及证书等级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项目经理</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需求分析</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系统设计</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软件工程师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测试工程师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bl>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项目成</w:t>
      </w:r>
      <w:r>
        <w:rPr>
          <w:rFonts w:hint="eastAsia" w:ascii="仿宋_GB2312" w:hAnsi="仿宋_GB2312" w:eastAsia="仿宋_GB2312" w:cs="仿宋_GB2312"/>
          <w:b/>
          <w:sz w:val="32"/>
          <w:szCs w:val="32"/>
          <w:highlight w:val="none"/>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r>
              <w:rPr>
                <w:rFonts w:hint="eastAsia" w:ascii="仿宋_GB2312" w:hAnsi="仿宋_GB2312" w:eastAsia="仿宋_GB2312" w:cs="仿宋_GB2312"/>
                <w:sz w:val="21"/>
                <w:szCs w:val="21"/>
                <w:highlight w:val="none"/>
                <w:lang w:eastAsia="zh-CN"/>
              </w:rPr>
              <w:t>所有</w:t>
            </w:r>
            <w:r>
              <w:rPr>
                <w:rFonts w:hint="eastAsia" w:ascii="仿宋_GB2312" w:hAnsi="仿宋_GB2312" w:eastAsia="仿宋_GB2312" w:cs="仿宋_GB2312"/>
                <w:sz w:val="21"/>
                <w:szCs w:val="21"/>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范例：</w:t>
            </w:r>
          </w:p>
          <w:p>
            <w:pPr>
              <w:numPr>
                <w:ilvl w:val="0"/>
                <w:numId w:val="30"/>
              </w:numPr>
              <w:snapToGrid w:val="0"/>
              <w:spacing w:line="312" w:lineRule="auto"/>
              <w:ind w:left="357" w:hanging="357"/>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2008.7</w:t>
            </w:r>
            <w:r>
              <w:rPr>
                <w:rFonts w:hint="eastAsia" w:ascii="仿宋_GB2312" w:hAnsi="仿宋_GB2312" w:eastAsia="仿宋_GB2312" w:cs="仿宋_GB2312"/>
                <w:i w:val="0"/>
                <w:iCs w:val="0"/>
                <w:sz w:val="21"/>
                <w:szCs w:val="21"/>
                <w:highlight w:val="none"/>
                <w:lang w:eastAsia="zh-CN"/>
              </w:rPr>
              <w:t>至</w:t>
            </w:r>
            <w:r>
              <w:rPr>
                <w:rFonts w:hint="eastAsia" w:ascii="仿宋_GB2312" w:hAnsi="仿宋_GB2312" w:eastAsia="仿宋_GB2312" w:cs="仿宋_GB2312"/>
                <w:i w:val="0"/>
                <w:iCs w:val="0"/>
                <w:sz w:val="21"/>
                <w:szCs w:val="21"/>
                <w:highlight w:val="none"/>
              </w:rPr>
              <w:t xml:space="preserve">今, </w:t>
            </w:r>
            <w:r>
              <w:rPr>
                <w:rFonts w:hint="eastAsia" w:ascii="仿宋_GB2312" w:hAnsi="仿宋_GB2312" w:eastAsia="仿宋_GB2312" w:cs="仿宋_GB2312"/>
                <w:i w:val="0"/>
                <w:iCs w:val="0"/>
                <w:sz w:val="21"/>
                <w:szCs w:val="21"/>
                <w:highlight w:val="none"/>
                <w:lang w:eastAsia="zh-CN"/>
              </w:rPr>
              <w:t>XXXXX</w:t>
            </w:r>
            <w:r>
              <w:rPr>
                <w:rFonts w:hint="eastAsia" w:ascii="仿宋_GB2312" w:hAnsi="仿宋_GB2312" w:eastAsia="仿宋_GB2312" w:cs="仿宋_GB2312"/>
                <w:i w:val="0"/>
                <w:iCs w:val="0"/>
                <w:sz w:val="21"/>
                <w:szCs w:val="21"/>
                <w:highlight w:val="none"/>
              </w:rPr>
              <w:t>公司，</w:t>
            </w:r>
            <w:r>
              <w:rPr>
                <w:rFonts w:hint="eastAsia" w:ascii="仿宋_GB2312" w:hAnsi="仿宋_GB2312" w:eastAsia="仿宋_GB2312" w:cs="仿宋_GB2312"/>
                <w:i w:val="0"/>
                <w:iCs w:val="0"/>
                <w:sz w:val="21"/>
                <w:szCs w:val="21"/>
                <w:highlight w:val="none"/>
                <w:lang w:eastAsia="zh-CN"/>
              </w:rPr>
              <w:t>XXX</w:t>
            </w:r>
            <w:r>
              <w:rPr>
                <w:rFonts w:hint="eastAsia" w:ascii="仿宋_GB2312" w:hAnsi="仿宋_GB2312" w:eastAsia="仿宋_GB2312" w:cs="仿宋_GB2312"/>
                <w:i w:val="0"/>
                <w:iCs w:val="0"/>
                <w:sz w:val="21"/>
                <w:szCs w:val="21"/>
                <w:highlight w:val="none"/>
              </w:rPr>
              <w:t>职务/岗位 (时间倒序)</w:t>
            </w:r>
          </w:p>
          <w:p>
            <w:pPr>
              <w:numPr>
                <w:ilvl w:val="0"/>
                <w:numId w:val="30"/>
              </w:numPr>
              <w:snapToGrid w:val="0"/>
              <w:spacing w:line="312" w:lineRule="auto"/>
              <w:ind w:left="357" w:hanging="357"/>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XXX</w:t>
            </w:r>
            <w:r>
              <w:rPr>
                <w:rFonts w:hint="eastAsia" w:ascii="仿宋_GB2312" w:hAnsi="仿宋_GB2312" w:eastAsia="仿宋_GB2312" w:cs="仿宋_GB2312"/>
                <w:sz w:val="21"/>
                <w:szCs w:val="21"/>
                <w:highlight w:val="none"/>
              </w:rPr>
              <w:t>客户</w:t>
            </w:r>
            <w:r>
              <w:rPr>
                <w:rFonts w:hint="eastAsia" w:ascii="仿宋_GB2312" w:hAnsi="仿宋_GB2312" w:eastAsia="仿宋_GB2312" w:cs="仿宋_GB2312"/>
                <w:sz w:val="21"/>
                <w:szCs w:val="21"/>
                <w:highlight w:val="none"/>
                <w:lang w:eastAsia="zh-CN"/>
              </w:rPr>
              <w:t>XXXX</w:t>
            </w:r>
            <w:r>
              <w:rPr>
                <w:rFonts w:hint="eastAsia" w:ascii="仿宋_GB2312" w:hAnsi="仿宋_GB2312" w:eastAsia="仿宋_GB2312" w:cs="仿宋_GB2312"/>
                <w:sz w:val="21"/>
                <w:szCs w:val="21"/>
                <w:highlight w:val="none"/>
              </w:rPr>
              <w:t>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bl>
    <w:p>
      <w:pPr>
        <w:tabs>
          <w:tab w:val="left" w:pos="3960"/>
        </w:tabs>
        <w:rPr>
          <w:rFonts w:hint="eastAsia" w:ascii="仿宋_GB2312" w:hAnsi="仿宋_GB2312" w:eastAsia="仿宋_GB2312" w:cs="仿宋_GB2312"/>
          <w:sz w:val="21"/>
          <w:szCs w:val="21"/>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eastAsia="zh-CN"/>
        </w:rPr>
        <w:t>附件</w:t>
      </w:r>
      <w:r>
        <w:rPr>
          <w:rFonts w:hint="eastAsia" w:ascii="仿宋_GB2312" w:hAnsi="仿宋_GB2312" w:eastAsia="仿宋_GB2312" w:cs="仿宋_GB2312"/>
          <w:b w:val="0"/>
          <w:sz w:val="28"/>
          <w:szCs w:val="28"/>
          <w:highlight w:val="none"/>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日    期：</w:t>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附件10：投标人资格证明与案例情况（近三年，需附证明文件）</w:t>
      </w:r>
    </w:p>
    <w:p>
      <w:pPr>
        <w:numPr>
          <w:ilvl w:val="0"/>
          <w:numId w:val="31"/>
        </w:num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投标人资格证明文件（法人身份证和加盖公章的营业执照、资格证书等相关文件复印件）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二、案例情况说明及证明材料</w:t>
      </w:r>
      <w:r>
        <w:rPr>
          <w:rFonts w:hint="eastAsia" w:ascii="仿宋_GB2312" w:hAnsi="仿宋_GB2312" w:eastAsia="仿宋_GB2312" w:cs="仿宋_GB2312"/>
          <w:sz w:val="28"/>
          <w:szCs w:val="28"/>
          <w:highlight w:val="none"/>
        </w:rPr>
        <w:t>（以加盖公章的合同复印件为准）</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tabs>
          <w:tab w:val="left" w:pos="3960"/>
        </w:tabs>
        <w:rPr>
          <w:rFonts w:hint="eastAsia" w:ascii="仿宋_GB2312" w:hAnsi="仿宋_GB2312" w:eastAsia="仿宋_GB2312" w:cs="仿宋_GB2312"/>
          <w:sz w:val="28"/>
          <w:szCs w:val="28"/>
          <w:highlight w:val="none"/>
        </w:rPr>
      </w:pP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附件11:投标人信用信息查询说明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（此处填写信用信息查询渠道及截止时间、信用信息查询记录和证据留存的具体方式、信用信息的使用规则等，注意文档整体格式）</w:t>
      </w: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附件12：</w:t>
      </w:r>
      <w:r>
        <w:rPr>
          <w:rFonts w:hint="eastAsia" w:ascii="仿宋_GB2312" w:hAnsi="仿宋_GB2312" w:eastAsia="仿宋_GB2312" w:cs="仿宋_GB2312"/>
          <w:b w:val="0"/>
          <w:bCs w:val="0"/>
          <w:kern w:val="2"/>
          <w:sz w:val="28"/>
          <w:szCs w:val="28"/>
          <w:highlight w:val="none"/>
          <w:lang w:val="en-US" w:eastAsia="zh-CN" w:bidi="ar-SA"/>
        </w:rPr>
        <w:t>偏 离 表</w:t>
      </w:r>
    </w:p>
    <w:p>
      <w:pPr>
        <w:jc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偏 离 表</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投标人应对招标文件中规定的商务及技术部分给予充分的考虑。为了评审的需要，投标人应将这些条款的异议逐条提出或根据以下要求的格式提出偏离。</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如无偏离，请在本页上写“无”，并附在投标文件中 。          </w:t>
      </w:r>
    </w:p>
    <w:tbl>
      <w:tblPr>
        <w:tblStyle w:val="3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2693"/>
        <w:gridCol w:w="136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章节号</w:t>
            </w:r>
          </w:p>
        </w:tc>
        <w:tc>
          <w:tcPr>
            <w:tcW w:w="2127"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招标文件要求</w:t>
            </w:r>
          </w:p>
        </w:tc>
        <w:tc>
          <w:tcPr>
            <w:tcW w:w="2693"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投标人响应情况</w:t>
            </w:r>
          </w:p>
        </w:tc>
        <w:tc>
          <w:tcPr>
            <w:tcW w:w="136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是否偏离</w:t>
            </w:r>
          </w:p>
        </w:tc>
        <w:tc>
          <w:tcPr>
            <w:tcW w:w="131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偏离理由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bl>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投标人名称（公章）：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法定代表人或代理人（签字或盖章）：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6"/>
        <w:overflowPunct w:val="0"/>
        <w:spacing w:line="500" w:lineRule="exact"/>
        <w:ind w:firstLine="0"/>
        <w:rPr>
          <w:rFonts w:hint="eastAsia" w:ascii="仿宋_GB2312" w:hAnsi="仿宋_GB2312" w:eastAsia="仿宋_GB2312" w:cs="仿宋_GB2312"/>
          <w:b/>
          <w:sz w:val="28"/>
          <w:szCs w:val="28"/>
          <w:highlight w:val="none"/>
        </w:rPr>
      </w:pP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附件13：其他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（此处为</w:t>
      </w:r>
      <w:r>
        <w:rPr>
          <w:rFonts w:hint="eastAsia" w:ascii="仿宋_GB2312" w:hAnsi="仿宋_GB2312" w:eastAsia="仿宋_GB2312" w:cs="仿宋_GB2312"/>
          <w:snapToGrid w:val="0"/>
          <w:sz w:val="24"/>
          <w:szCs w:val="24"/>
          <w:highlight w:val="none"/>
          <w:lang w:val="en-US" w:eastAsia="zh-CN"/>
        </w:rPr>
        <w:t>投标人自愿提供的其他全部文件</w:t>
      </w:r>
      <w:r>
        <w:rPr>
          <w:rFonts w:hint="eastAsia" w:ascii="仿宋_GB2312" w:hAnsi="仿宋_GB2312" w:eastAsia="仿宋_GB2312" w:cs="仿宋_GB2312"/>
          <w:b w:val="0"/>
          <w:bCs w:val="0"/>
          <w:i/>
          <w:iCs/>
          <w:sz w:val="24"/>
          <w:szCs w:val="24"/>
          <w:highlight w:val="none"/>
          <w:lang w:val="en-US" w:eastAsia="zh-CN"/>
        </w:rPr>
        <w:t>，注意文档整体格式）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8"/>
          <w:szCs w:val="28"/>
          <w:highlight w:val="none"/>
          <w:lang w:val="en-US" w:eastAsia="zh-CN"/>
        </w:rPr>
      </w:pPr>
    </w:p>
    <w:p>
      <w:pPr>
        <w:rPr>
          <w:rFonts w:hint="eastAsia" w:ascii="仿宋_GB2312" w:hAnsi="仿宋_GB2312" w:eastAsia="仿宋_GB2312" w:cs="仿宋_GB2312"/>
          <w:b w:val="0"/>
          <w:i w:val="0"/>
          <w:caps w:val="0"/>
          <w:color w:val="000000"/>
          <w:spacing w:val="0"/>
          <w:sz w:val="28"/>
          <w:szCs w:val="28"/>
          <w:highlight w:val="none"/>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微软雅黑"/>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00" w:usb3="00000000" w:csb0="003E0000"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 xml:space="preserve">常熟农商银行招标文件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461C8"/>
    <w:multiLevelType w:val="singleLevel"/>
    <w:tmpl w:val="882461C8"/>
    <w:lvl w:ilvl="0" w:tentative="0">
      <w:start w:val="1"/>
      <w:numFmt w:val="chineseCounting"/>
      <w:suff w:val="nothing"/>
      <w:lvlText w:val="（%1）"/>
      <w:lvlJc w:val="left"/>
      <w:pPr>
        <w:ind w:left="0" w:firstLine="420"/>
      </w:pPr>
      <w:rPr>
        <w:rFonts w:hint="eastAsia"/>
      </w:rPr>
    </w:lvl>
  </w:abstractNum>
  <w:abstractNum w:abstractNumId="1">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2">
    <w:nsid w:val="CFF47F79"/>
    <w:multiLevelType w:val="singleLevel"/>
    <w:tmpl w:val="CFF47F79"/>
    <w:lvl w:ilvl="0" w:tentative="0">
      <w:start w:val="1"/>
      <w:numFmt w:val="decimal"/>
      <w:suff w:val="nothing"/>
      <w:lvlText w:val="（%1）"/>
      <w:lvlJc w:val="left"/>
    </w:lvl>
  </w:abstractNum>
  <w:abstractNum w:abstractNumId="3">
    <w:nsid w:val="F240796C"/>
    <w:multiLevelType w:val="singleLevel"/>
    <w:tmpl w:val="F240796C"/>
    <w:lvl w:ilvl="0" w:tentative="0">
      <w:start w:val="1"/>
      <w:numFmt w:val="chineseCounting"/>
      <w:suff w:val="nothing"/>
      <w:lvlText w:val="（%1）"/>
      <w:lvlJc w:val="left"/>
      <w:pPr>
        <w:ind w:left="0" w:firstLine="420"/>
      </w:pPr>
      <w:rPr>
        <w:rFonts w:hint="eastAsia"/>
      </w:rPr>
    </w:lvl>
  </w:abstractNum>
  <w:abstractNum w:abstractNumId="4">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5">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6">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A09D12"/>
    <w:multiLevelType w:val="singleLevel"/>
    <w:tmpl w:val="11A09D12"/>
    <w:lvl w:ilvl="0" w:tentative="0">
      <w:start w:val="1"/>
      <w:numFmt w:val="chineseCounting"/>
      <w:suff w:val="nothing"/>
      <w:lvlText w:val="（%1）"/>
      <w:lvlJc w:val="left"/>
      <w:pPr>
        <w:ind w:left="0" w:firstLine="420"/>
      </w:pPr>
      <w:rPr>
        <w:rFonts w:hint="eastAsia"/>
      </w:rPr>
    </w:lvl>
  </w:abstractNum>
  <w:abstractNum w:abstractNumId="8">
    <w:nsid w:val="167414BF"/>
    <w:multiLevelType w:val="multilevel"/>
    <w:tmpl w:val="167414B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726BC7E"/>
    <w:multiLevelType w:val="singleLevel"/>
    <w:tmpl w:val="4726BC7E"/>
    <w:lvl w:ilvl="0" w:tentative="0">
      <w:start w:val="1"/>
      <w:numFmt w:val="decimal"/>
      <w:lvlText w:val="%1."/>
      <w:lvlJc w:val="left"/>
      <w:pPr>
        <w:tabs>
          <w:tab w:val="left" w:pos="312"/>
        </w:tabs>
      </w:pPr>
    </w:lvl>
  </w:abstractNum>
  <w:abstractNum w:abstractNumId="10">
    <w:nsid w:val="5279BCCF"/>
    <w:multiLevelType w:val="singleLevel"/>
    <w:tmpl w:val="5279BCCF"/>
    <w:lvl w:ilvl="0" w:tentative="0">
      <w:start w:val="1"/>
      <w:numFmt w:val="chineseCounting"/>
      <w:suff w:val="nothing"/>
      <w:lvlText w:val="%1、"/>
      <w:lvlJc w:val="left"/>
    </w:lvl>
  </w:abstractNum>
  <w:abstractNum w:abstractNumId="11">
    <w:nsid w:val="558EFAF7"/>
    <w:multiLevelType w:val="singleLevel"/>
    <w:tmpl w:val="558EFAF7"/>
    <w:lvl w:ilvl="0" w:tentative="0">
      <w:start w:val="1"/>
      <w:numFmt w:val="decimal"/>
      <w:lvlText w:val="%1."/>
      <w:lvlJc w:val="left"/>
      <w:pPr>
        <w:tabs>
          <w:tab w:val="left" w:pos="312"/>
        </w:tabs>
      </w:pPr>
    </w:lvl>
  </w:abstractNum>
  <w:abstractNum w:abstractNumId="12">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13">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5">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2">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3">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4">
    <w:nsid w:val="5983032A"/>
    <w:multiLevelType w:val="singleLevel"/>
    <w:tmpl w:val="5983032A"/>
    <w:lvl w:ilvl="0" w:tentative="0">
      <w:start w:val="2"/>
      <w:numFmt w:val="chineseCounting"/>
      <w:suff w:val="nothing"/>
      <w:lvlText w:val="%1、"/>
      <w:lvlJc w:val="left"/>
    </w:lvl>
  </w:abstractNum>
  <w:abstractNum w:abstractNumId="25">
    <w:nsid w:val="5987D065"/>
    <w:multiLevelType w:val="singleLevel"/>
    <w:tmpl w:val="5987D065"/>
    <w:lvl w:ilvl="0" w:tentative="0">
      <w:start w:val="1"/>
      <w:numFmt w:val="chineseCounting"/>
      <w:suff w:val="nothing"/>
      <w:lvlText w:val="%1、"/>
      <w:lvlJc w:val="left"/>
    </w:lvl>
  </w:abstractNum>
  <w:abstractNum w:abstractNumId="26">
    <w:nsid w:val="5987D4BA"/>
    <w:multiLevelType w:val="singleLevel"/>
    <w:tmpl w:val="5987D4BA"/>
    <w:lvl w:ilvl="0" w:tentative="0">
      <w:start w:val="2"/>
      <w:numFmt w:val="chineseCounting"/>
      <w:suff w:val="nothing"/>
      <w:lvlText w:val="（%1）"/>
      <w:lvlJc w:val="left"/>
    </w:lvl>
  </w:abstractNum>
  <w:abstractNum w:abstractNumId="27">
    <w:nsid w:val="7237A2EE"/>
    <w:multiLevelType w:val="singleLevel"/>
    <w:tmpl w:val="7237A2EE"/>
    <w:lvl w:ilvl="0" w:tentative="0">
      <w:start w:val="1"/>
      <w:numFmt w:val="chineseCounting"/>
      <w:suff w:val="nothing"/>
      <w:lvlText w:val="（%1）"/>
      <w:lvlJc w:val="left"/>
      <w:pPr>
        <w:ind w:left="0" w:firstLine="420"/>
      </w:pPr>
      <w:rPr>
        <w:rFonts w:hint="eastAsia"/>
      </w:rPr>
    </w:lvl>
  </w:abstractNum>
  <w:abstractNum w:abstractNumId="28">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9">
    <w:nsid w:val="7AE5E9A7"/>
    <w:multiLevelType w:val="singleLevel"/>
    <w:tmpl w:val="7AE5E9A7"/>
    <w:lvl w:ilvl="0" w:tentative="0">
      <w:start w:val="1"/>
      <w:numFmt w:val="chineseCounting"/>
      <w:suff w:val="nothing"/>
      <w:lvlText w:val="（%1）"/>
      <w:lvlJc w:val="left"/>
      <w:pPr>
        <w:ind w:left="0" w:firstLine="420"/>
      </w:pPr>
      <w:rPr>
        <w:rFonts w:hint="eastAsia"/>
      </w:rPr>
    </w:lvl>
  </w:abstractNum>
  <w:abstractNum w:abstractNumId="30">
    <w:nsid w:val="7CF61CF3"/>
    <w:multiLevelType w:val="singleLevel"/>
    <w:tmpl w:val="7CF61CF3"/>
    <w:lvl w:ilvl="0" w:tentative="0">
      <w:start w:val="1"/>
      <w:numFmt w:val="decimal"/>
      <w:suff w:val="nothing"/>
      <w:lvlText w:val="（%1）"/>
      <w:lvlJc w:val="left"/>
    </w:lvl>
  </w:abstractNum>
  <w:num w:numId="1">
    <w:abstractNumId w:val="4"/>
  </w:num>
  <w:num w:numId="2">
    <w:abstractNumId w:val="12"/>
  </w:num>
  <w:num w:numId="3">
    <w:abstractNumId w:val="27"/>
  </w:num>
  <w:num w:numId="4">
    <w:abstractNumId w:val="13"/>
  </w:num>
  <w:num w:numId="5">
    <w:abstractNumId w:val="14"/>
  </w:num>
  <w:num w:numId="6">
    <w:abstractNumId w:val="15"/>
  </w:num>
  <w:num w:numId="7">
    <w:abstractNumId w:val="7"/>
  </w:num>
  <w:num w:numId="8">
    <w:abstractNumId w:val="16"/>
  </w:num>
  <w:num w:numId="9">
    <w:abstractNumId w:val="17"/>
  </w:num>
  <w:num w:numId="10">
    <w:abstractNumId w:val="0"/>
  </w:num>
  <w:num w:numId="11">
    <w:abstractNumId w:val="1"/>
  </w:num>
  <w:num w:numId="12">
    <w:abstractNumId w:val="29"/>
  </w:num>
  <w:num w:numId="13">
    <w:abstractNumId w:val="18"/>
  </w:num>
  <w:num w:numId="14">
    <w:abstractNumId w:val="19"/>
  </w:num>
  <w:num w:numId="15">
    <w:abstractNumId w:val="20"/>
  </w:num>
  <w:num w:numId="16">
    <w:abstractNumId w:val="21"/>
  </w:num>
  <w:num w:numId="17">
    <w:abstractNumId w:val="3"/>
  </w:num>
  <w:num w:numId="18">
    <w:abstractNumId w:val="5"/>
  </w:num>
  <w:num w:numId="19">
    <w:abstractNumId w:val="11"/>
  </w:num>
  <w:num w:numId="20">
    <w:abstractNumId w:val="9"/>
  </w:num>
  <w:num w:numId="21">
    <w:abstractNumId w:val="10"/>
  </w:num>
  <w:num w:numId="22">
    <w:abstractNumId w:val="28"/>
  </w:num>
  <w:num w:numId="23">
    <w:abstractNumId w:val="22"/>
  </w:num>
  <w:num w:numId="24">
    <w:abstractNumId w:val="23"/>
  </w:num>
  <w:num w:numId="25">
    <w:abstractNumId w:val="24"/>
  </w:num>
  <w:num w:numId="26">
    <w:abstractNumId w:val="26"/>
  </w:num>
  <w:num w:numId="27">
    <w:abstractNumId w:val="8"/>
  </w:num>
  <w:num w:numId="28">
    <w:abstractNumId w:val="30"/>
  </w:num>
  <w:num w:numId="29">
    <w:abstractNumId w:val="2"/>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1A96492"/>
    <w:rsid w:val="01B918D9"/>
    <w:rsid w:val="0226032C"/>
    <w:rsid w:val="02327B7E"/>
    <w:rsid w:val="023F763D"/>
    <w:rsid w:val="02426FC4"/>
    <w:rsid w:val="024C138E"/>
    <w:rsid w:val="026003F1"/>
    <w:rsid w:val="02777751"/>
    <w:rsid w:val="02A067C4"/>
    <w:rsid w:val="02BA29F8"/>
    <w:rsid w:val="03140E87"/>
    <w:rsid w:val="031D6BFC"/>
    <w:rsid w:val="034435B9"/>
    <w:rsid w:val="03926FEA"/>
    <w:rsid w:val="03B46439"/>
    <w:rsid w:val="0412370F"/>
    <w:rsid w:val="043F6208"/>
    <w:rsid w:val="04465A59"/>
    <w:rsid w:val="04694A39"/>
    <w:rsid w:val="04972F07"/>
    <w:rsid w:val="0520293B"/>
    <w:rsid w:val="05874BD7"/>
    <w:rsid w:val="064D4FF7"/>
    <w:rsid w:val="065A5568"/>
    <w:rsid w:val="068A58DD"/>
    <w:rsid w:val="06A2432A"/>
    <w:rsid w:val="06AC59D5"/>
    <w:rsid w:val="07025CAB"/>
    <w:rsid w:val="0756131A"/>
    <w:rsid w:val="0854497E"/>
    <w:rsid w:val="0889179A"/>
    <w:rsid w:val="08AB3900"/>
    <w:rsid w:val="08CC236C"/>
    <w:rsid w:val="08E829EE"/>
    <w:rsid w:val="09806F41"/>
    <w:rsid w:val="09BA0631"/>
    <w:rsid w:val="09D2393C"/>
    <w:rsid w:val="0A5237FA"/>
    <w:rsid w:val="0AB43546"/>
    <w:rsid w:val="0ABD15C0"/>
    <w:rsid w:val="0AD164F5"/>
    <w:rsid w:val="0B334ECE"/>
    <w:rsid w:val="0B82438F"/>
    <w:rsid w:val="0B836253"/>
    <w:rsid w:val="0BBF23F5"/>
    <w:rsid w:val="0BC37C77"/>
    <w:rsid w:val="0BDC31DE"/>
    <w:rsid w:val="0C824CC4"/>
    <w:rsid w:val="0C904C0E"/>
    <w:rsid w:val="0D0514A7"/>
    <w:rsid w:val="0D0B218D"/>
    <w:rsid w:val="0D1F1BB5"/>
    <w:rsid w:val="0D5D0AE8"/>
    <w:rsid w:val="0D8F2D46"/>
    <w:rsid w:val="0DAE5379"/>
    <w:rsid w:val="0DB16C2B"/>
    <w:rsid w:val="0DCB3E31"/>
    <w:rsid w:val="0E00519E"/>
    <w:rsid w:val="0E121931"/>
    <w:rsid w:val="0E2C07A0"/>
    <w:rsid w:val="0E702D3B"/>
    <w:rsid w:val="0EDC3895"/>
    <w:rsid w:val="0F6F4C5E"/>
    <w:rsid w:val="0F8F770F"/>
    <w:rsid w:val="101F7A0E"/>
    <w:rsid w:val="10516EBC"/>
    <w:rsid w:val="10C776EF"/>
    <w:rsid w:val="10C8421C"/>
    <w:rsid w:val="10E92F76"/>
    <w:rsid w:val="11383706"/>
    <w:rsid w:val="11A179C1"/>
    <w:rsid w:val="11C503CC"/>
    <w:rsid w:val="12077F8E"/>
    <w:rsid w:val="12780A0F"/>
    <w:rsid w:val="12B9330F"/>
    <w:rsid w:val="12F258F9"/>
    <w:rsid w:val="131E3EC2"/>
    <w:rsid w:val="13B21DDF"/>
    <w:rsid w:val="13CF32F6"/>
    <w:rsid w:val="13DD30C3"/>
    <w:rsid w:val="14044EE5"/>
    <w:rsid w:val="14193B86"/>
    <w:rsid w:val="142C5E3A"/>
    <w:rsid w:val="149808E2"/>
    <w:rsid w:val="14A81FAA"/>
    <w:rsid w:val="14C71970"/>
    <w:rsid w:val="15212E1B"/>
    <w:rsid w:val="153C1171"/>
    <w:rsid w:val="15547E03"/>
    <w:rsid w:val="156F1F39"/>
    <w:rsid w:val="15840E3F"/>
    <w:rsid w:val="15BA039F"/>
    <w:rsid w:val="15D64E1E"/>
    <w:rsid w:val="15E66256"/>
    <w:rsid w:val="15F44A3F"/>
    <w:rsid w:val="15F461F3"/>
    <w:rsid w:val="16273CED"/>
    <w:rsid w:val="16975514"/>
    <w:rsid w:val="17F5625C"/>
    <w:rsid w:val="18123DBD"/>
    <w:rsid w:val="18352522"/>
    <w:rsid w:val="185663DA"/>
    <w:rsid w:val="18631D4E"/>
    <w:rsid w:val="18987982"/>
    <w:rsid w:val="189D20F0"/>
    <w:rsid w:val="18B8785A"/>
    <w:rsid w:val="18BD6728"/>
    <w:rsid w:val="191817D3"/>
    <w:rsid w:val="19474EE4"/>
    <w:rsid w:val="194D45C7"/>
    <w:rsid w:val="19961FDC"/>
    <w:rsid w:val="199D5D8B"/>
    <w:rsid w:val="19A24DFE"/>
    <w:rsid w:val="19B33F22"/>
    <w:rsid w:val="1A201B89"/>
    <w:rsid w:val="1A2C4A64"/>
    <w:rsid w:val="1A435120"/>
    <w:rsid w:val="1A523FB8"/>
    <w:rsid w:val="1A6C779C"/>
    <w:rsid w:val="1A8F2C3D"/>
    <w:rsid w:val="1AC64000"/>
    <w:rsid w:val="1AE65EF1"/>
    <w:rsid w:val="1B414698"/>
    <w:rsid w:val="1B5213EA"/>
    <w:rsid w:val="1B853A94"/>
    <w:rsid w:val="1B986C08"/>
    <w:rsid w:val="1C1A366B"/>
    <w:rsid w:val="1C762E6E"/>
    <w:rsid w:val="1C765BB9"/>
    <w:rsid w:val="1CA154E8"/>
    <w:rsid w:val="1CA45FE9"/>
    <w:rsid w:val="1D106803"/>
    <w:rsid w:val="1D403F99"/>
    <w:rsid w:val="1D6C0124"/>
    <w:rsid w:val="1DA3328B"/>
    <w:rsid w:val="1DE24E96"/>
    <w:rsid w:val="1E244478"/>
    <w:rsid w:val="1E6C1D9C"/>
    <w:rsid w:val="1FC00BA4"/>
    <w:rsid w:val="1FC25642"/>
    <w:rsid w:val="204A0E8E"/>
    <w:rsid w:val="205741B5"/>
    <w:rsid w:val="207B4430"/>
    <w:rsid w:val="207E05FA"/>
    <w:rsid w:val="207F7502"/>
    <w:rsid w:val="208A1F28"/>
    <w:rsid w:val="20A0246C"/>
    <w:rsid w:val="20D27DF1"/>
    <w:rsid w:val="20E022E2"/>
    <w:rsid w:val="2159297C"/>
    <w:rsid w:val="21895C02"/>
    <w:rsid w:val="21940D6B"/>
    <w:rsid w:val="21A3377D"/>
    <w:rsid w:val="21FC165E"/>
    <w:rsid w:val="221626AE"/>
    <w:rsid w:val="221E3807"/>
    <w:rsid w:val="222B3CD6"/>
    <w:rsid w:val="224A6137"/>
    <w:rsid w:val="22701E93"/>
    <w:rsid w:val="22956EF9"/>
    <w:rsid w:val="22BB36B6"/>
    <w:rsid w:val="23120D28"/>
    <w:rsid w:val="231C05A6"/>
    <w:rsid w:val="235C4E6B"/>
    <w:rsid w:val="23D03A35"/>
    <w:rsid w:val="23D77CC0"/>
    <w:rsid w:val="24524F7B"/>
    <w:rsid w:val="24A90ADE"/>
    <w:rsid w:val="24B970CD"/>
    <w:rsid w:val="24DF4CB0"/>
    <w:rsid w:val="24EF1EC5"/>
    <w:rsid w:val="250A0639"/>
    <w:rsid w:val="25987B4A"/>
    <w:rsid w:val="25CF4249"/>
    <w:rsid w:val="25D128FA"/>
    <w:rsid w:val="260F3CF1"/>
    <w:rsid w:val="262B1DED"/>
    <w:rsid w:val="26567F1F"/>
    <w:rsid w:val="26774072"/>
    <w:rsid w:val="267D7EA1"/>
    <w:rsid w:val="27377058"/>
    <w:rsid w:val="27A24554"/>
    <w:rsid w:val="283934CC"/>
    <w:rsid w:val="28506176"/>
    <w:rsid w:val="291C7581"/>
    <w:rsid w:val="292D78B9"/>
    <w:rsid w:val="29655ACD"/>
    <w:rsid w:val="2A4B5C19"/>
    <w:rsid w:val="2AA11FC9"/>
    <w:rsid w:val="2AC82D98"/>
    <w:rsid w:val="2B0F368C"/>
    <w:rsid w:val="2BE521BC"/>
    <w:rsid w:val="2C930738"/>
    <w:rsid w:val="2CF57956"/>
    <w:rsid w:val="2CF80ADA"/>
    <w:rsid w:val="2D232E8B"/>
    <w:rsid w:val="2D4B2BCC"/>
    <w:rsid w:val="2DD67FBC"/>
    <w:rsid w:val="2DDE4DF1"/>
    <w:rsid w:val="2E390794"/>
    <w:rsid w:val="2E4F5B52"/>
    <w:rsid w:val="2E5423C9"/>
    <w:rsid w:val="2E8C44A4"/>
    <w:rsid w:val="2ED63DAE"/>
    <w:rsid w:val="2F920070"/>
    <w:rsid w:val="2FA85CD6"/>
    <w:rsid w:val="2FBB56EA"/>
    <w:rsid w:val="2FCC0C6E"/>
    <w:rsid w:val="3044738E"/>
    <w:rsid w:val="305717B6"/>
    <w:rsid w:val="31CF0A5D"/>
    <w:rsid w:val="32113DDD"/>
    <w:rsid w:val="32226E35"/>
    <w:rsid w:val="32544F91"/>
    <w:rsid w:val="32B51499"/>
    <w:rsid w:val="32C567EF"/>
    <w:rsid w:val="32D565D1"/>
    <w:rsid w:val="33D87D7E"/>
    <w:rsid w:val="3413415F"/>
    <w:rsid w:val="346D1CBC"/>
    <w:rsid w:val="34774473"/>
    <w:rsid w:val="34B37BB6"/>
    <w:rsid w:val="34E770F3"/>
    <w:rsid w:val="35755825"/>
    <w:rsid w:val="35AA3AE9"/>
    <w:rsid w:val="35D54B9D"/>
    <w:rsid w:val="36E166DF"/>
    <w:rsid w:val="36EB2ABE"/>
    <w:rsid w:val="36F0652C"/>
    <w:rsid w:val="373C6391"/>
    <w:rsid w:val="373F2BCE"/>
    <w:rsid w:val="374977D6"/>
    <w:rsid w:val="3757480D"/>
    <w:rsid w:val="375E3FC2"/>
    <w:rsid w:val="3765637B"/>
    <w:rsid w:val="379D1FE1"/>
    <w:rsid w:val="37B47277"/>
    <w:rsid w:val="381C0BA9"/>
    <w:rsid w:val="3870013B"/>
    <w:rsid w:val="38B16AAF"/>
    <w:rsid w:val="38E17FBF"/>
    <w:rsid w:val="391F5F60"/>
    <w:rsid w:val="397B426B"/>
    <w:rsid w:val="39B508B0"/>
    <w:rsid w:val="39C274D6"/>
    <w:rsid w:val="39DE5349"/>
    <w:rsid w:val="39E90411"/>
    <w:rsid w:val="3A2115AC"/>
    <w:rsid w:val="3A7024CF"/>
    <w:rsid w:val="3A8C0BC9"/>
    <w:rsid w:val="3AC36277"/>
    <w:rsid w:val="3ADB73F7"/>
    <w:rsid w:val="3B1220D5"/>
    <w:rsid w:val="3B2C3D25"/>
    <w:rsid w:val="3B2C7A6D"/>
    <w:rsid w:val="3B2F1C21"/>
    <w:rsid w:val="3B4078F8"/>
    <w:rsid w:val="3B723F13"/>
    <w:rsid w:val="3BB039CA"/>
    <w:rsid w:val="3C077B24"/>
    <w:rsid w:val="3C115E11"/>
    <w:rsid w:val="3C95430B"/>
    <w:rsid w:val="3CE24E7B"/>
    <w:rsid w:val="3CFD982A"/>
    <w:rsid w:val="3D0542A9"/>
    <w:rsid w:val="3DEF7861"/>
    <w:rsid w:val="3DFA001C"/>
    <w:rsid w:val="3E2677C4"/>
    <w:rsid w:val="3EA95DD0"/>
    <w:rsid w:val="3EEB15D8"/>
    <w:rsid w:val="3F2C0ED7"/>
    <w:rsid w:val="3F42799A"/>
    <w:rsid w:val="3F9A5BE3"/>
    <w:rsid w:val="3FC20FCA"/>
    <w:rsid w:val="4011336D"/>
    <w:rsid w:val="40514271"/>
    <w:rsid w:val="4077181C"/>
    <w:rsid w:val="40837CC5"/>
    <w:rsid w:val="40F36ADA"/>
    <w:rsid w:val="411656A7"/>
    <w:rsid w:val="418A0B44"/>
    <w:rsid w:val="41A37CB9"/>
    <w:rsid w:val="42051E54"/>
    <w:rsid w:val="42731021"/>
    <w:rsid w:val="42980C9A"/>
    <w:rsid w:val="42A542C4"/>
    <w:rsid w:val="43285D3E"/>
    <w:rsid w:val="4338624A"/>
    <w:rsid w:val="438A492C"/>
    <w:rsid w:val="43B7463B"/>
    <w:rsid w:val="43C530AC"/>
    <w:rsid w:val="446B6756"/>
    <w:rsid w:val="448D0D5E"/>
    <w:rsid w:val="44C7432E"/>
    <w:rsid w:val="44E569B4"/>
    <w:rsid w:val="456B0153"/>
    <w:rsid w:val="458925D9"/>
    <w:rsid w:val="458B155C"/>
    <w:rsid w:val="45D74323"/>
    <w:rsid w:val="45E83AD0"/>
    <w:rsid w:val="465E4660"/>
    <w:rsid w:val="469B269E"/>
    <w:rsid w:val="46F86864"/>
    <w:rsid w:val="47161412"/>
    <w:rsid w:val="477375C7"/>
    <w:rsid w:val="48570EBF"/>
    <w:rsid w:val="486253FD"/>
    <w:rsid w:val="48F117E3"/>
    <w:rsid w:val="49CA30BF"/>
    <w:rsid w:val="49CC555F"/>
    <w:rsid w:val="49D25F5D"/>
    <w:rsid w:val="4A4D77BA"/>
    <w:rsid w:val="4A7D5BA6"/>
    <w:rsid w:val="4AE21718"/>
    <w:rsid w:val="4AF24664"/>
    <w:rsid w:val="4B48076E"/>
    <w:rsid w:val="4B4E2792"/>
    <w:rsid w:val="4BC174DF"/>
    <w:rsid w:val="4BC733A0"/>
    <w:rsid w:val="4BFA7A10"/>
    <w:rsid w:val="4C3A6825"/>
    <w:rsid w:val="4C413BB0"/>
    <w:rsid w:val="4D391A3D"/>
    <w:rsid w:val="4D3A548A"/>
    <w:rsid w:val="4DD51292"/>
    <w:rsid w:val="4DF61CD3"/>
    <w:rsid w:val="4E770D1A"/>
    <w:rsid w:val="4E8D29A3"/>
    <w:rsid w:val="4E933484"/>
    <w:rsid w:val="4E9553C8"/>
    <w:rsid w:val="4E9B37F3"/>
    <w:rsid w:val="4F431490"/>
    <w:rsid w:val="4F857078"/>
    <w:rsid w:val="4FB55C78"/>
    <w:rsid w:val="4FD533B9"/>
    <w:rsid w:val="4FDF5118"/>
    <w:rsid w:val="4FFB1DED"/>
    <w:rsid w:val="5011782C"/>
    <w:rsid w:val="50501259"/>
    <w:rsid w:val="506D1992"/>
    <w:rsid w:val="507B6179"/>
    <w:rsid w:val="50847E00"/>
    <w:rsid w:val="509E0CCF"/>
    <w:rsid w:val="51634F7E"/>
    <w:rsid w:val="51A13730"/>
    <w:rsid w:val="51D63D97"/>
    <w:rsid w:val="520B41D4"/>
    <w:rsid w:val="520D4419"/>
    <w:rsid w:val="52386CE3"/>
    <w:rsid w:val="53EF7D85"/>
    <w:rsid w:val="53FA6863"/>
    <w:rsid w:val="541444A8"/>
    <w:rsid w:val="548D4A1C"/>
    <w:rsid w:val="54B97A88"/>
    <w:rsid w:val="54FE1F29"/>
    <w:rsid w:val="568D5DF7"/>
    <w:rsid w:val="56C32EC8"/>
    <w:rsid w:val="56EE776F"/>
    <w:rsid w:val="57435CB9"/>
    <w:rsid w:val="57952EED"/>
    <w:rsid w:val="581377A6"/>
    <w:rsid w:val="585F37C6"/>
    <w:rsid w:val="58CF50A8"/>
    <w:rsid w:val="59537374"/>
    <w:rsid w:val="59A35BD0"/>
    <w:rsid w:val="5A0F136A"/>
    <w:rsid w:val="5A5341FA"/>
    <w:rsid w:val="5AF769BB"/>
    <w:rsid w:val="5B3B60A4"/>
    <w:rsid w:val="5B46714E"/>
    <w:rsid w:val="5B4A0F39"/>
    <w:rsid w:val="5B5E5416"/>
    <w:rsid w:val="5B794029"/>
    <w:rsid w:val="5C006AA4"/>
    <w:rsid w:val="5C026E80"/>
    <w:rsid w:val="5C1902AF"/>
    <w:rsid w:val="5C1D485C"/>
    <w:rsid w:val="5C1F5633"/>
    <w:rsid w:val="5C404115"/>
    <w:rsid w:val="5C5D0EEE"/>
    <w:rsid w:val="5C8247F7"/>
    <w:rsid w:val="5CA07092"/>
    <w:rsid w:val="5DBA4654"/>
    <w:rsid w:val="5DF20031"/>
    <w:rsid w:val="5E7C7C18"/>
    <w:rsid w:val="5EFA4622"/>
    <w:rsid w:val="5F2D2E24"/>
    <w:rsid w:val="60D470B0"/>
    <w:rsid w:val="60F2286C"/>
    <w:rsid w:val="61133F18"/>
    <w:rsid w:val="612A7E43"/>
    <w:rsid w:val="61357C86"/>
    <w:rsid w:val="614A23AF"/>
    <w:rsid w:val="61590E72"/>
    <w:rsid w:val="615B0D1E"/>
    <w:rsid w:val="615B5C92"/>
    <w:rsid w:val="61771EE8"/>
    <w:rsid w:val="61822DDD"/>
    <w:rsid w:val="61C03AA5"/>
    <w:rsid w:val="61D41A13"/>
    <w:rsid w:val="61DC7A24"/>
    <w:rsid w:val="620D2536"/>
    <w:rsid w:val="62625A67"/>
    <w:rsid w:val="62626C23"/>
    <w:rsid w:val="628402D0"/>
    <w:rsid w:val="62D56DCB"/>
    <w:rsid w:val="632E08B0"/>
    <w:rsid w:val="636D2BB9"/>
    <w:rsid w:val="63C24B0A"/>
    <w:rsid w:val="63DE5387"/>
    <w:rsid w:val="64014DC5"/>
    <w:rsid w:val="6410508E"/>
    <w:rsid w:val="641D0F13"/>
    <w:rsid w:val="643829A8"/>
    <w:rsid w:val="64572C5D"/>
    <w:rsid w:val="645A7169"/>
    <w:rsid w:val="646C6FE8"/>
    <w:rsid w:val="64A37505"/>
    <w:rsid w:val="64C03B57"/>
    <w:rsid w:val="64D01775"/>
    <w:rsid w:val="65761FCC"/>
    <w:rsid w:val="65906DEB"/>
    <w:rsid w:val="65C15915"/>
    <w:rsid w:val="65CB08AD"/>
    <w:rsid w:val="65F3029E"/>
    <w:rsid w:val="65F352C0"/>
    <w:rsid w:val="660D3DB9"/>
    <w:rsid w:val="661012CB"/>
    <w:rsid w:val="662F65D4"/>
    <w:rsid w:val="6650355B"/>
    <w:rsid w:val="66A3741E"/>
    <w:rsid w:val="66B614FB"/>
    <w:rsid w:val="66C478CB"/>
    <w:rsid w:val="67F658B2"/>
    <w:rsid w:val="681E7AD8"/>
    <w:rsid w:val="683F10C6"/>
    <w:rsid w:val="685C0B24"/>
    <w:rsid w:val="68961AFB"/>
    <w:rsid w:val="68B610B9"/>
    <w:rsid w:val="6904590E"/>
    <w:rsid w:val="69090B24"/>
    <w:rsid w:val="697716E5"/>
    <w:rsid w:val="698C591D"/>
    <w:rsid w:val="69D6566C"/>
    <w:rsid w:val="69E3308E"/>
    <w:rsid w:val="6A0D0F70"/>
    <w:rsid w:val="6A1A03AA"/>
    <w:rsid w:val="6A394651"/>
    <w:rsid w:val="6A5945F9"/>
    <w:rsid w:val="6A7144BE"/>
    <w:rsid w:val="6AA66486"/>
    <w:rsid w:val="6AA94832"/>
    <w:rsid w:val="6B4E7C02"/>
    <w:rsid w:val="6B533323"/>
    <w:rsid w:val="6B7A7AE3"/>
    <w:rsid w:val="6C1B6D74"/>
    <w:rsid w:val="6C325E7E"/>
    <w:rsid w:val="6CDF59DF"/>
    <w:rsid w:val="6CEB13C9"/>
    <w:rsid w:val="6D530806"/>
    <w:rsid w:val="6D79747C"/>
    <w:rsid w:val="6DCF5B68"/>
    <w:rsid w:val="6E973570"/>
    <w:rsid w:val="6ED00995"/>
    <w:rsid w:val="6EF207FF"/>
    <w:rsid w:val="6EFE488E"/>
    <w:rsid w:val="6F0D1FC0"/>
    <w:rsid w:val="6F767EFE"/>
    <w:rsid w:val="6FBA15E8"/>
    <w:rsid w:val="6FFB0052"/>
    <w:rsid w:val="700272C2"/>
    <w:rsid w:val="703C2F5B"/>
    <w:rsid w:val="704F3FE3"/>
    <w:rsid w:val="7056024D"/>
    <w:rsid w:val="70962A58"/>
    <w:rsid w:val="7098624A"/>
    <w:rsid w:val="71160067"/>
    <w:rsid w:val="71382591"/>
    <w:rsid w:val="714A7EE2"/>
    <w:rsid w:val="717F544B"/>
    <w:rsid w:val="71C13224"/>
    <w:rsid w:val="71F91A05"/>
    <w:rsid w:val="72181D1E"/>
    <w:rsid w:val="72412981"/>
    <w:rsid w:val="7251629D"/>
    <w:rsid w:val="72516DE5"/>
    <w:rsid w:val="72CA3510"/>
    <w:rsid w:val="73176CA4"/>
    <w:rsid w:val="734628D9"/>
    <w:rsid w:val="735D191F"/>
    <w:rsid w:val="736A23E7"/>
    <w:rsid w:val="73803BE2"/>
    <w:rsid w:val="740B1955"/>
    <w:rsid w:val="74545538"/>
    <w:rsid w:val="74833A17"/>
    <w:rsid w:val="74AE0429"/>
    <w:rsid w:val="74CC4F09"/>
    <w:rsid w:val="75087F41"/>
    <w:rsid w:val="75237E76"/>
    <w:rsid w:val="75414DBC"/>
    <w:rsid w:val="755C32F4"/>
    <w:rsid w:val="758F565B"/>
    <w:rsid w:val="75F344BF"/>
    <w:rsid w:val="76164B6D"/>
    <w:rsid w:val="76834386"/>
    <w:rsid w:val="76D02233"/>
    <w:rsid w:val="76F38A5F"/>
    <w:rsid w:val="7731745B"/>
    <w:rsid w:val="78276128"/>
    <w:rsid w:val="783D20D1"/>
    <w:rsid w:val="78B570CB"/>
    <w:rsid w:val="79311880"/>
    <w:rsid w:val="79560A40"/>
    <w:rsid w:val="79C24604"/>
    <w:rsid w:val="79CB6D6F"/>
    <w:rsid w:val="7A022E0D"/>
    <w:rsid w:val="7A1265E7"/>
    <w:rsid w:val="7A826731"/>
    <w:rsid w:val="7AF30168"/>
    <w:rsid w:val="7B1633FD"/>
    <w:rsid w:val="7B5675BC"/>
    <w:rsid w:val="7B724861"/>
    <w:rsid w:val="7C0619D3"/>
    <w:rsid w:val="7C195293"/>
    <w:rsid w:val="7C3051CE"/>
    <w:rsid w:val="7C35538A"/>
    <w:rsid w:val="7C7C41DC"/>
    <w:rsid w:val="7CCB2628"/>
    <w:rsid w:val="7D0E604F"/>
    <w:rsid w:val="7D3373CB"/>
    <w:rsid w:val="7D4204CE"/>
    <w:rsid w:val="7D4B6CF2"/>
    <w:rsid w:val="7DA61D19"/>
    <w:rsid w:val="7DB83F32"/>
    <w:rsid w:val="7DC86131"/>
    <w:rsid w:val="7DC90FFE"/>
    <w:rsid w:val="7DCD64E1"/>
    <w:rsid w:val="7DEA337D"/>
    <w:rsid w:val="7E6251B3"/>
    <w:rsid w:val="7E834979"/>
    <w:rsid w:val="7ED73662"/>
    <w:rsid w:val="7EDB6AD5"/>
    <w:rsid w:val="7F1A4A92"/>
    <w:rsid w:val="7F547970"/>
    <w:rsid w:val="7F57674C"/>
    <w:rsid w:val="7F654BFE"/>
    <w:rsid w:val="7F7A49F2"/>
    <w:rsid w:val="7FA600A4"/>
    <w:rsid w:val="7FB06742"/>
    <w:rsid w:val="7FB72AE3"/>
    <w:rsid w:val="7FCE2DD1"/>
    <w:rsid w:val="9F9F65AE"/>
    <w:rsid w:val="BBFD63A8"/>
    <w:rsid w:val="D78BC5AF"/>
    <w:rsid w:val="DFFE91DF"/>
    <w:rsid w:val="E77A8D83"/>
    <w:rsid w:val="F3FFF7D4"/>
    <w:rsid w:val="F7FBAF93"/>
    <w:rsid w:val="FD3BD719"/>
    <w:rsid w:val="FF3F6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basedOn w:val="34"/>
    <w:qFormat/>
    <w:uiPriority w:val="0"/>
    <w:rPr>
      <w:rFonts w:hint="default" w:ascii="Arial" w:hAnsi="Arial" w:cs="Arial"/>
      <w:color w:val="000000"/>
      <w:sz w:val="20"/>
      <w:szCs w:val="20"/>
      <w:u w:val="none"/>
    </w:rPr>
  </w:style>
  <w:style w:type="character" w:customStyle="1" w:styleId="122">
    <w:name w:val="font61"/>
    <w:basedOn w:val="34"/>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 w:type="character" w:customStyle="1" w:styleId="124">
    <w:name w:val="font81"/>
    <w:basedOn w:val="34"/>
    <w:qFormat/>
    <w:uiPriority w:val="0"/>
    <w:rPr>
      <w:rFonts w:hint="eastAsia" w:ascii="宋体" w:hAnsi="宋体" w:eastAsia="宋体" w:cs="宋体"/>
      <w:color w:val="000000"/>
      <w:sz w:val="24"/>
      <w:szCs w:val="24"/>
      <w:u w:val="single"/>
    </w:rPr>
  </w:style>
  <w:style w:type="character" w:customStyle="1" w:styleId="125">
    <w:name w:val="font71"/>
    <w:basedOn w:val="34"/>
    <w:qFormat/>
    <w:uiPriority w:val="0"/>
    <w:rPr>
      <w:rFonts w:hint="eastAsia" w:ascii="宋体" w:hAnsi="宋体" w:eastAsia="宋体" w:cs="宋体"/>
      <w:color w:val="000000"/>
      <w:sz w:val="24"/>
      <w:szCs w:val="24"/>
      <w:u w:val="none"/>
    </w:rPr>
  </w:style>
  <w:style w:type="character" w:customStyle="1" w:styleId="126">
    <w:name w:val="font31"/>
    <w:basedOn w:val="34"/>
    <w:qFormat/>
    <w:uiPriority w:val="0"/>
    <w:rPr>
      <w:rFonts w:hint="eastAsia" w:ascii="宋体" w:hAnsi="宋体" w:eastAsia="宋体" w:cs="宋体"/>
      <w:color w:val="FF0000"/>
      <w:sz w:val="24"/>
      <w:szCs w:val="24"/>
      <w:u w:val="none"/>
    </w:rPr>
  </w:style>
  <w:style w:type="character" w:customStyle="1" w:styleId="127">
    <w:name w:val="font41"/>
    <w:basedOn w:val="34"/>
    <w:qFormat/>
    <w:uiPriority w:val="0"/>
    <w:rPr>
      <w:rFonts w:hint="eastAsia" w:ascii="宋体" w:hAnsi="宋体" w:eastAsia="宋体" w:cs="宋体"/>
      <w:color w:val="FF0000"/>
      <w:sz w:val="24"/>
      <w:szCs w:val="24"/>
      <w:u w:val="single"/>
    </w:rPr>
  </w:style>
  <w:style w:type="character" w:customStyle="1" w:styleId="128">
    <w:name w:val="font21"/>
    <w:basedOn w:val="34"/>
    <w:qFormat/>
    <w:uiPriority w:val="0"/>
    <w:rPr>
      <w:rFonts w:hint="eastAsia" w:ascii="宋体" w:hAnsi="宋体" w:eastAsia="宋体" w:cs="宋体"/>
      <w:color w:val="000000"/>
      <w:sz w:val="24"/>
      <w:szCs w:val="24"/>
      <w:u w:val="none"/>
    </w:rPr>
  </w:style>
  <w:style w:type="character" w:customStyle="1" w:styleId="129">
    <w:name w:val="font01"/>
    <w:basedOn w:val="34"/>
    <w:qFormat/>
    <w:uiPriority w:val="0"/>
    <w:rPr>
      <w:rFonts w:hint="eastAsia" w:ascii="宋体" w:hAnsi="宋体" w:eastAsia="宋体" w:cs="宋体"/>
      <w:color w:val="000000"/>
      <w:sz w:val="24"/>
      <w:szCs w:val="24"/>
      <w:u w:val="single"/>
    </w:rPr>
  </w:style>
  <w:style w:type="character" w:customStyle="1" w:styleId="130">
    <w:name w:val="font121"/>
    <w:basedOn w:val="34"/>
    <w:qFormat/>
    <w:uiPriority w:val="0"/>
    <w:rPr>
      <w:rFonts w:hint="eastAsia" w:ascii="宋体" w:hAnsi="宋体" w:eastAsia="宋体" w:cs="宋体"/>
      <w:b/>
      <w:color w:val="000000"/>
      <w:sz w:val="22"/>
      <w:szCs w:val="22"/>
      <w:u w:val="single"/>
    </w:rPr>
  </w:style>
  <w:style w:type="paragraph" w:customStyle="1" w:styleId="131">
    <w:name w:val="列表段落3"/>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42</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2015-03-21T01:06:00Z</dcterms:created>
  <dc:creator>liaozx</dc:creator>
  <cp:lastModifiedBy>Administrator</cp:lastModifiedBy>
  <dcterms:modified xsi:type="dcterms:W3CDTF">2024-08-01T00:59:16Z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CD8D5A1002A84563B10FCB3D27E23C42</vt:lpwstr>
  </property>
</Properties>
</file>