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800"/>
        <w:gridCol w:w="1257"/>
        <w:gridCol w:w="743"/>
        <w:gridCol w:w="600"/>
        <w:gridCol w:w="200"/>
        <w:gridCol w:w="400"/>
        <w:gridCol w:w="20"/>
        <w:gridCol w:w="980"/>
        <w:gridCol w:w="2000"/>
        <w:gridCol w:w="400"/>
        <w:gridCol w:w="220"/>
        <w:gridCol w:w="1380"/>
        <w:gridCol w:w="1700"/>
        <w:gridCol w:w="800"/>
      </w:tblGrid>
      <w:tr>
        <w:tblPrEx>
          <w:tblCellMar>
            <w:top w:w="0" w:type="dxa"/>
            <w:left w:w="10" w:type="dxa"/>
            <w:bottom w:w="0" w:type="dxa"/>
            <w:right w:w="10" w:type="dxa"/>
          </w:tblCellMar>
        </w:tblPrEx>
        <w:trPr>
          <w:trHeight w:val="0" w:hRule="atLeast"/>
        </w:trPr>
        <w:tc>
          <w:p>
            <w:pPr>
              <w:pStyle w:val="4"/>
            </w:pPr>
            <w:bookmarkStart w:id="0" w:name="JR_PAGE_ANCHOR_0_1"/>
            <w:bookmarkEnd w:id="0"/>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3"/>
            <w:tcMar>
              <w:top w:w="0" w:type="dxa"/>
              <w:left w:w="0" w:type="dxa"/>
              <w:bottom w:w="0" w:type="dxa"/>
              <w:right w:w="0" w:type="dxa"/>
            </w:tcMar>
            <w:vAlign w:val="center"/>
          </w:tcPr>
          <w:p>
            <w:pPr>
              <w:spacing w:before="0" w:after="0" w:line="240" w:lineRule="auto"/>
              <w:jc w:val="center"/>
            </w:pPr>
            <w:r>
              <w:rPr>
                <w:rFonts w:ascii="原版宋体" w:hAnsi="原版宋体" w:eastAsia="原版宋体" w:cs="原版宋体"/>
                <w:b/>
                <w:color w:val="000000"/>
                <w:sz w:val="40"/>
              </w:rPr>
              <w:t>“常乐星享月月享新资金2号净值型理财产品”定期报告</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产品管理人：常熟农商银行</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产品托管人：招商银行</w:t>
            </w: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b/>
                <w:color w:val="000000"/>
                <w:sz w:val="20"/>
              </w:rPr>
              <w:t>1  重要提示</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产品的过往业绩并不代表其未来表现。投资有风险，投资者在作出投资决策前应仔细阅读本产品说明书。</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本报告中财务资料未经审计。</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r>
              <w:rPr>
                <w:rFonts w:ascii="原版宋体" w:hAnsi="原版宋体" w:eastAsia="原版宋体" w:cs="原版宋体"/>
                <w:color w:val="000000"/>
                <w:sz w:val="20"/>
              </w:rPr>
              <w:t xml:space="preserve">    本报告期自2026年01月01日起至03月31日止。</w:t>
            </w:r>
          </w:p>
        </w:tc>
        <w:tc>
          <w:p>
            <w:pPr>
              <w:pStyle w:val="4"/>
            </w:pPr>
          </w:p>
        </w:tc>
      </w:tr>
      <w:tr>
        <w:tblPrEx>
          <w:tblCellMar>
            <w:top w:w="0" w:type="dxa"/>
            <w:left w:w="10" w:type="dxa"/>
            <w:bottom w:w="0" w:type="dxa"/>
            <w:right w:w="10" w:type="dxa"/>
          </w:tblCellMar>
        </w:tblPrEx>
        <w:trPr>
          <w:trHeight w:val="7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2  产品概况</w:t>
            </w:r>
          </w:p>
        </w:tc>
        <w:tc>
          <w:p>
            <w:pPr>
              <w:pStyle w:val="4"/>
            </w:pPr>
          </w:p>
        </w:tc>
      </w:tr>
      <w:tr>
        <w:tblPrEx>
          <w:tblCellMar>
            <w:top w:w="0" w:type="dxa"/>
            <w:left w:w="10" w:type="dxa"/>
            <w:bottom w:w="0" w:type="dxa"/>
            <w:right w:w="10" w:type="dxa"/>
          </w:tblCellMar>
        </w:tblPrEx>
        <w:trPr>
          <w:trHeight w:val="8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产品名称</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常乐星享月月享新资金2号净值型理财产品</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CLXXYX002</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全国银行业理财信息登记系统编码</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C1115421000009</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产品运作方式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开放式净值型</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产品类型</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固定收益类</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募集方式</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公募</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报告期末产品份额总额（万份）</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86716</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产品管理人</w:t>
            </w:r>
          </w:p>
        </w:tc>
        <w:tc>
          <w:tcPr>
            <w:gridSpan w:val="8"/>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常熟农商银行</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3  产品净值表现</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Pr>
          <w:p>
            <w:pPr>
              <w:pStyle w:val="4"/>
            </w:pPr>
          </w:p>
        </w:tc>
        <w:tc>
          <w:tcPr>
            <w:gridSpan w:val="9"/>
            <w:tcMar>
              <w:top w:w="0" w:type="dxa"/>
              <w:left w:w="0" w:type="dxa"/>
              <w:bottom w:w="0" w:type="dxa"/>
              <w:right w:w="0" w:type="dxa"/>
            </w:tcMar>
            <w:vAlign w:val="center"/>
          </w:tcPr>
          <w:p>
            <w:pPr>
              <w:spacing w:before="0" w:after="0" w:line="360" w:lineRule="auto"/>
              <w:jc w:val="right"/>
            </w:pPr>
            <w:r>
              <w:rPr>
                <w:rFonts w:ascii="原版宋体" w:hAnsi="原版宋体" w:eastAsia="原版宋体" w:cs="原版宋体"/>
                <w:color w:val="000000"/>
                <w:sz w:val="20"/>
              </w:rPr>
              <w:t>（单位：元）</w:t>
            </w: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4"/>
          </w:tcPr>
          <w:p>
            <w:pPr>
              <w:pStyle w:val="4"/>
            </w:pPr>
          </w:p>
        </w:tc>
        <w:tc>
          <w:p>
            <w:pPr>
              <w:pStyle w:val="4"/>
            </w:pPr>
          </w:p>
        </w:tc>
        <w:tc>
          <w:tcPr>
            <w:gridSpan w:val="8"/>
          </w:tcPr>
          <w:p>
            <w:pPr>
              <w:pStyle w:val="4"/>
            </w:pP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报告期（2026年01月01日-2026年03月31日）</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1.期末产品资产净值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1,015,696,314.00</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2.期末产品份额净值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1.171278</w:t>
            </w:r>
          </w:p>
        </w:tc>
        <w:tc>
          <w:p>
            <w:pPr>
              <w:pStyle w:val="4"/>
            </w:pPr>
          </w:p>
        </w:tc>
      </w:tr>
      <w:tr>
        <w:tblPrEx>
          <w:tblCellMar>
            <w:top w:w="0" w:type="dxa"/>
            <w:left w:w="10" w:type="dxa"/>
            <w:bottom w:w="0" w:type="dxa"/>
            <w:right w:w="10" w:type="dxa"/>
          </w:tblCellMar>
        </w:tblPrEx>
        <w:trPr>
          <w:trHeight w:val="440" w:hRule="exact"/>
        </w:trPr>
        <w:tc>
          <w:p>
            <w:pPr>
              <w:pStyle w:val="4"/>
            </w:pP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3.期末产品份额累计净值</w:t>
            </w:r>
          </w:p>
        </w:tc>
        <w:tc>
          <w:tcPr>
            <w:gridSpan w:val="9"/>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1.171278</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1" w:name="JR_PAGE_ANCHOR_0_2"/>
            <w:bookmarkEnd w:id="1"/>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b/>
                <w:color w:val="000000"/>
                <w:sz w:val="20"/>
              </w:rPr>
              <w:t>4  投资组合报告</w:t>
            </w: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4.1 报告期末产品资产组合情况</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项目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占产品总资产的比例（%）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固定收益投资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1,026,553,807.11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97.94%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1,026,553,807.11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97.94%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      非标资产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权益投资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其中：基金</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金融衍生品投资</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买入返售金融资产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其中：买断式回购</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银行存款合计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21,553,020.10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2.06%</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其他资产</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1,048,106,827.21</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100.00%</w:t>
            </w:r>
          </w:p>
        </w:tc>
        <w:tc>
          <w:p>
            <w:pPr>
              <w:pStyle w:val="4"/>
            </w:pPr>
          </w:p>
        </w:tc>
      </w:tr>
      <w:tr>
        <w:tblPrEx>
          <w:tblCellMar>
            <w:top w:w="0" w:type="dxa"/>
            <w:left w:w="10" w:type="dxa"/>
            <w:bottom w:w="0" w:type="dxa"/>
            <w:right w:w="10" w:type="dxa"/>
          </w:tblCellMar>
        </w:tblPrEx>
        <w:trPr>
          <w:trHeight w:val="2000" w:hRule="exact"/>
        </w:trPr>
        <w:tc>
          <w:p>
            <w:pPr>
              <w:pStyle w:val="4"/>
            </w:pPr>
          </w:p>
        </w:tc>
        <w:tc>
          <w:p>
            <w:pPr>
              <w:pStyle w:val="4"/>
            </w:pPr>
          </w:p>
        </w:tc>
        <w:tc>
          <w:tcPr>
            <w:gridSpan w:val="5"/>
          </w:tcPr>
          <w:p>
            <w:pPr>
              <w:pStyle w:val="4"/>
            </w:pPr>
          </w:p>
        </w:tc>
        <w:tc>
          <w:p>
            <w:pPr>
              <w:pStyle w:val="4"/>
            </w:pPr>
          </w:p>
        </w:tc>
        <w:tc>
          <w:tcPr>
            <w:gridSpan w:val="3"/>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4.2 报告期末按债券品种分类的债券投资组合</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债券品种</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金额（元）</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1</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国家债券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央行票据</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3</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金融债券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183,083,760.82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18.03%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其中：政策性金融债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183,083,760.82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18.03%</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4</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企业债券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843,470,046.29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83.04%</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5</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企业短期融资券</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6</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可转债</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7</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其他</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0.00%</w:t>
            </w:r>
          </w:p>
        </w:tc>
        <w:tc>
          <w:p>
            <w:pPr>
              <w:pStyle w:val="4"/>
            </w:pPr>
          </w:p>
        </w:tc>
      </w:tr>
      <w:tr>
        <w:tblPrEx>
          <w:tblCellMar>
            <w:top w:w="0" w:type="dxa"/>
            <w:left w:w="10" w:type="dxa"/>
            <w:bottom w:w="0" w:type="dxa"/>
            <w:right w:w="10" w:type="dxa"/>
          </w:tblCellMar>
        </w:tblPrEx>
        <w:trPr>
          <w:trHeight w:val="42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8</w:t>
            </w:r>
          </w:p>
        </w:tc>
        <w:tc>
          <w:tcPr>
            <w:gridSpan w:val="6"/>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合计</w:t>
            </w:r>
          </w:p>
        </w:tc>
        <w:tc>
          <w:tcPr>
            <w:gridSpan w:val="4"/>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1,026,553,807.11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101.07%</w:t>
            </w: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2" w:name="JR_PAGE_ANCHOR_0_3"/>
            <w:bookmarkEnd w:id="2"/>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4.3 报告期末按市值占产品资产净值比例大小排名的前十名资产投资明细</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序号</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资产代码</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资产名称</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数量</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b/>
                <w:color w:val="000000"/>
                <w:sz w:val="20"/>
              </w:rPr>
              <w:t>市值(元)</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center"/>
            </w:pPr>
            <w:r>
              <w:rPr>
                <w:rFonts w:ascii="原版宋体" w:hAnsi="原版宋体" w:eastAsia="原版宋体" w:cs="原版宋体"/>
                <w:b/>
                <w:color w:val="000000"/>
                <w:sz w:val="20"/>
              </w:rPr>
              <w:t>占产品资产净值比例（％）</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032480502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24华靖资产PPN002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82,335,162.74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8.11%</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2</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SS255965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24湖经01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76,000,000.00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78,366,127.78</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7.72%</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3</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240303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24进出03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71,772,207.26</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7.07%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4</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032200262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22嘉兴滨海PPN001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62,858,659.73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6.19%</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5</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032400650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24南浦口PPN001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60,734,109.04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5.98%</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6</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SZ133266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22嘉塍01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53,000,000.00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55,913,313.44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5.50%</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7</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SS257275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25泰交01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51,081,908.91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5.03%</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8</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250211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25国开11</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50,454,161.64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4.97%</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9</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SS196497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22富开02</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42,212,657.54</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4.16%</w:t>
            </w:r>
          </w:p>
        </w:tc>
        <w:tc>
          <w:p>
            <w:pPr>
              <w:pStyle w:val="4"/>
            </w:pPr>
          </w:p>
        </w:tc>
      </w:tr>
      <w:tr>
        <w:tblPrEx>
          <w:tblCellMar>
            <w:top w:w="0" w:type="dxa"/>
            <w:left w:w="10" w:type="dxa"/>
            <w:bottom w:w="0" w:type="dxa"/>
            <w:right w:w="10" w:type="dxa"/>
          </w:tblCellMar>
        </w:tblPrEx>
        <w:trPr>
          <w:trHeight w:val="600" w:hRule="exact"/>
        </w:trPr>
        <w:tc>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r>
              <w:rPr>
                <w:rFonts w:ascii="原版宋体" w:hAnsi="原版宋体" w:eastAsia="原版宋体" w:cs="原版宋体"/>
                <w:color w:val="000000"/>
                <w:sz w:val="20"/>
              </w:rPr>
              <w:t xml:space="preserve"> 10</w:t>
            </w:r>
          </w:p>
        </w:tc>
        <w:tc>
          <w:tcPr>
            <w:gridSpan w:val="2"/>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 xml:space="preserve">032400717       </w:t>
            </w:r>
          </w:p>
        </w:tc>
        <w:tc>
          <w:tcPr>
            <w:gridSpan w:val="5"/>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jc w:val="left"/>
            </w:pPr>
            <w:r>
              <w:rPr>
                <w:rFonts w:ascii="原版宋体" w:hAnsi="原版宋体" w:eastAsia="原版宋体" w:cs="原版宋体"/>
                <w:color w:val="000000"/>
                <w:sz w:val="20"/>
              </w:rPr>
              <w:t>24盐城国投PPN003</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40,000,000.00</w:t>
            </w:r>
          </w:p>
        </w:tc>
        <w:tc>
          <w:tcPr>
            <w:gridSpan w:val="3"/>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40"/>
              <w:jc w:val="right"/>
            </w:pPr>
            <w:r>
              <w:rPr>
                <w:rFonts w:ascii="原版宋体" w:hAnsi="原版宋体" w:eastAsia="原版宋体" w:cs="原版宋体"/>
                <w:color w:val="000000"/>
                <w:sz w:val="20"/>
              </w:rPr>
              <w:t>41,584,962.19</w:t>
            </w:r>
          </w:p>
        </w:tc>
        <w:tc>
          <w:tcPr>
            <w:tcBorders>
              <w:top w:val="single" w:color="000000" w:sz="8" w:space="0"/>
              <w:left w:val="single" w:color="000000" w:sz="8" w:space="0"/>
              <w:bottom w:val="single" w:color="000000" w:sz="8" w:space="0"/>
              <w:right w:val="single" w:color="000000" w:sz="8" w:space="0"/>
            </w:tcBorders>
            <w:tcMar>
              <w:top w:w="0" w:type="dxa"/>
              <w:left w:w="80" w:type="dxa"/>
              <w:bottom w:w="0" w:type="dxa"/>
              <w:right w:w="0" w:type="dxa"/>
            </w:tcMar>
            <w:vAlign w:val="center"/>
          </w:tcPr>
          <w:p>
            <w:pPr>
              <w:ind w:right="160"/>
              <w:jc w:val="right"/>
            </w:pPr>
            <w:r>
              <w:rPr>
                <w:rFonts w:ascii="原版宋体" w:hAnsi="原版宋体" w:eastAsia="原版宋体" w:cs="原版宋体"/>
                <w:color w:val="000000"/>
                <w:sz w:val="20"/>
              </w:rPr>
              <w:t>4.09%</w:t>
            </w:r>
          </w:p>
        </w:tc>
        <w:tc>
          <w:p>
            <w:pPr>
              <w:pStyle w:val="4"/>
            </w:pPr>
          </w:p>
        </w:tc>
      </w:tr>
      <w:tr>
        <w:tblPrEx>
          <w:tblCellMar>
            <w:top w:w="0" w:type="dxa"/>
            <w:left w:w="10" w:type="dxa"/>
            <w:bottom w:w="0" w:type="dxa"/>
            <w:right w:w="10" w:type="dxa"/>
          </w:tblCellMar>
        </w:tblPrEx>
        <w:trPr>
          <w:trHeight w:val="58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4.4 报告期末投资组合流动性风险分析</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13"/>
            <w:tcMar>
              <w:top w:w="0" w:type="dxa"/>
              <w:left w:w="0" w:type="dxa"/>
              <w:bottom w:w="0" w:type="dxa"/>
              <w:right w:w="0" w:type="dxa"/>
            </w:tcMar>
            <w:vAlign w:val="center"/>
          </w:tcPr>
          <w:p>
            <w:pPr>
              <w:spacing w:before="0" w:after="0" w:line="360" w:lineRule="auto"/>
            </w:pPr>
            <w:r>
              <w:rPr>
                <w:rFonts w:ascii="原版宋体" w:hAnsi="原版宋体" w:eastAsia="原版宋体" w:cs="原版宋体"/>
                <w:color w:val="000000"/>
                <w:sz w:val="20"/>
              </w:rPr>
              <w:t xml:space="preserve">    报告期内，产品管理人通过合理安排资产配置结构，保持一定比例的高流动性资产，控制资产久期、杠杆融资比例，管控产品流动性风险。持仓中利率债、同业存单及高等级信用债占比较高，对于关键时点的规模变动和资金面波动都有充足的准备，且融资渠道畅通多元，风险总体可控。</w:t>
            </w:r>
          </w:p>
        </w:tc>
        <w:tc>
          <w:p>
            <w:pPr>
              <w:pStyle w:val="4"/>
            </w:pPr>
          </w:p>
        </w:tc>
      </w:tr>
      <w:tr>
        <w:tblPrEx>
          <w:tblCellMar>
            <w:top w:w="0" w:type="dxa"/>
            <w:left w:w="10" w:type="dxa"/>
            <w:bottom w:w="0" w:type="dxa"/>
            <w:right w:w="10" w:type="dxa"/>
          </w:tblCellMar>
        </w:tblPrEx>
        <w:trPr>
          <w:trHeight w:val="1020" w:hRule="exact"/>
        </w:trPr>
        <w:tc>
          <w:p>
            <w:pPr>
              <w:pStyle w:val="4"/>
            </w:pPr>
          </w:p>
        </w:tc>
        <w:tc>
          <w:p>
            <w:pPr>
              <w:pStyle w:val="4"/>
            </w:pPr>
          </w:p>
        </w:tc>
        <w:tc>
          <w:tcPr>
            <w:gridSpan w:val="2"/>
          </w:tcPr>
          <w:p>
            <w:pPr>
              <w:pStyle w:val="4"/>
            </w:pPr>
          </w:p>
        </w:tc>
        <w:tc>
          <w:tcPr>
            <w:gridSpan w:val="5"/>
          </w:tcPr>
          <w:p>
            <w:pPr>
              <w:pStyle w:val="4"/>
            </w:pPr>
          </w:p>
        </w:tc>
        <w:tc>
          <w:p>
            <w:pPr>
              <w:pStyle w:val="4"/>
            </w:pPr>
          </w:p>
        </w:tc>
        <w:tc>
          <w:tcPr>
            <w:gridSpan w:val="3"/>
          </w:tcPr>
          <w:p>
            <w:pPr>
              <w:pStyle w:val="4"/>
            </w:pPr>
          </w:p>
        </w:tc>
        <w:tc>
          <w:p>
            <w:pPr>
              <w:pStyle w:val="4"/>
            </w:pPr>
          </w:p>
        </w:tc>
        <w:tc>
          <w:p>
            <w:pPr>
              <w:pStyle w:val="4"/>
            </w:pPr>
          </w:p>
        </w:tc>
      </w:tr>
      <w:tr>
        <w:tblPrEx>
          <w:tblCellMar>
            <w:top w:w="0" w:type="dxa"/>
            <w:left w:w="10" w:type="dxa"/>
            <w:bottom w:w="0" w:type="dxa"/>
            <w:right w:w="10" w:type="dxa"/>
          </w:tblCellMar>
        </w:tblPrEx>
        <w:trPr>
          <w:trHeight w:val="400" w:hRule="exact"/>
        </w:trPr>
        <w:tc>
          <w:p>
            <w:pPr>
              <w:pStyle w:val="4"/>
            </w:pPr>
            <w:bookmarkStart w:id="3" w:name="_GoBack" w:colFirst="1" w:colLast="7"/>
          </w:p>
        </w:tc>
        <w:tc>
          <w:tcPr>
            <w:tcW w:w="10700" w:type="dxa"/>
            <w:gridSpan w:val="13"/>
            <w:tcMar>
              <w:top w:w="0" w:type="dxa"/>
              <w:left w:w="0" w:type="dxa"/>
              <w:bottom w:w="0" w:type="dxa"/>
              <w:right w:w="0" w:type="dxa"/>
            </w:tcMar>
            <w:vAlign w:val="center"/>
          </w:tcPr>
          <w:p>
            <w:pPr>
              <w:spacing w:before="0" w:after="0" w:line="360" w:lineRule="auto"/>
              <w:rPr>
                <w:rFonts w:ascii="原版宋体" w:hAnsi="原版宋体" w:eastAsia="原版宋体" w:cs="原版宋体"/>
                <w:color w:val="000000"/>
                <w:sz w:val="20"/>
              </w:rPr>
            </w:pPr>
            <w:r>
              <w:rPr>
                <w:rFonts w:hint="eastAsia" w:ascii="原版宋体" w:hAnsi="原版宋体" w:eastAsia="原版宋体" w:cs="原版宋体"/>
                <w:b/>
                <w:color w:val="000000"/>
                <w:sz w:val="20"/>
                <w:lang w:val="en-US" w:eastAsia="zh-CN"/>
              </w:rPr>
              <w:t>5</w:t>
            </w:r>
            <w:r>
              <w:rPr>
                <w:rFonts w:ascii="原版宋体" w:hAnsi="原版宋体" w:eastAsia="原版宋体" w:cs="原版宋体"/>
                <w:b/>
                <w:color w:val="000000"/>
                <w:sz w:val="20"/>
              </w:rPr>
              <w:t xml:space="preserve">  </w:t>
            </w:r>
            <w:r>
              <w:rPr>
                <w:rFonts w:hint="eastAsia" w:ascii="原版宋体" w:hAnsi="原版宋体" w:eastAsia="原版宋体" w:cs="原版宋体"/>
                <w:b/>
                <w:color w:val="000000"/>
                <w:sz w:val="20"/>
                <w:lang w:eastAsia="zh-CN"/>
              </w:rPr>
              <w:t>投资账户信息</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户名</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 xml:space="preserve">常熟农商银行-常乐星享月月享新资金2号净值型人民币理财产品 </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账号</w:t>
            </w:r>
          </w:p>
        </w:tc>
        <w:tc>
          <w:tcPr>
            <w:tcW w:w="8643" w:type="dxa"/>
            <w:gridSpan w:val="11"/>
            <w:tcMar>
              <w:top w:w="0" w:type="dxa"/>
              <w:left w:w="0" w:type="dxa"/>
              <w:bottom w:w="0" w:type="dxa"/>
              <w:right w:w="0" w:type="dxa"/>
            </w:tcMar>
            <w:vAlign w:val="center"/>
          </w:tcPr>
          <w:p>
            <w:pPr>
              <w:ind w:left="0" w:leftChars="0"/>
              <w:jc w:val="center"/>
            </w:pPr>
            <w:r>
              <w:rPr>
                <w:rFonts w:hint="eastAsia" w:ascii="原版宋体" w:hAnsi="原版宋体" w:eastAsia="原版宋体" w:cs="原版宋体"/>
                <w:color w:val="000000"/>
                <w:sz w:val="20"/>
                <w:lang w:eastAsia="zh-CN"/>
              </w:rPr>
              <w:t>512902284610827</w:t>
            </w:r>
          </w:p>
        </w:tc>
        <w:tc>
          <w:tcPr>
            <w:tcW w:w="800" w:type="dxa"/>
            <w:vAlign w:val="top"/>
          </w:tcPr>
          <w:p>
            <w:pPr>
              <w:pStyle w:val="4"/>
            </w:pPr>
          </w:p>
        </w:tc>
      </w:tr>
      <w:tr>
        <w:tblPrEx>
          <w:tblCellMar>
            <w:top w:w="0" w:type="dxa"/>
            <w:left w:w="10" w:type="dxa"/>
            <w:bottom w:w="0" w:type="dxa"/>
            <w:right w:w="10" w:type="dxa"/>
          </w:tblCellMar>
        </w:tblPrEx>
        <w:trPr>
          <w:trHeight w:val="400" w:hRule="exact"/>
        </w:trPr>
        <w:tc>
          <w:p>
            <w:pPr>
              <w:pStyle w:val="4"/>
            </w:pPr>
          </w:p>
        </w:tc>
        <w:tc>
          <w:tcPr>
            <w:tcW w:w="2057" w:type="dxa"/>
            <w:gridSpan w:val="2"/>
            <w:tcMar>
              <w:top w:w="0" w:type="dxa"/>
              <w:left w:w="0" w:type="dxa"/>
              <w:bottom w:w="0" w:type="dxa"/>
              <w:right w:w="0" w:type="dxa"/>
            </w:tcMar>
            <w:vAlign w:val="center"/>
          </w:tcPr>
          <w:p>
            <w:pPr>
              <w:jc w:val="center"/>
              <w:rPr>
                <w:rFonts w:ascii="原版宋体" w:hAnsi="原版宋体" w:eastAsia="原版宋体" w:cs="原版宋体"/>
                <w:color w:val="000000"/>
                <w:sz w:val="20"/>
              </w:rPr>
            </w:pPr>
            <w:r>
              <w:rPr>
                <w:rFonts w:hint="eastAsia" w:ascii="原版宋体" w:hAnsi="原版宋体" w:eastAsia="原版宋体" w:cs="原版宋体"/>
                <w:color w:val="000000"/>
                <w:sz w:val="20"/>
                <w:lang w:eastAsia="zh-CN"/>
              </w:rPr>
              <w:t>开 户 行</w:t>
            </w:r>
          </w:p>
        </w:tc>
        <w:tc>
          <w:tcPr>
            <w:tcW w:w="8643" w:type="dxa"/>
            <w:gridSpan w:val="11"/>
            <w:tcMar>
              <w:top w:w="0" w:type="dxa"/>
              <w:left w:w="0" w:type="dxa"/>
              <w:bottom w:w="0" w:type="dxa"/>
              <w:right w:w="0" w:type="dxa"/>
            </w:tcMar>
            <w:vAlign w:val="center"/>
          </w:tcPr>
          <w:p>
            <w:pPr>
              <w:jc w:val="center"/>
            </w:pPr>
            <w:r>
              <w:rPr>
                <w:rFonts w:hint="eastAsia" w:ascii="原版宋体" w:hAnsi="原版宋体" w:eastAsia="原版宋体" w:cs="原版宋体"/>
                <w:color w:val="000000"/>
                <w:sz w:val="20"/>
                <w:lang w:eastAsia="zh-CN"/>
              </w:rPr>
              <w:t>招商银行苏州分行营业部</w:t>
            </w:r>
          </w:p>
        </w:tc>
        <w:tc>
          <w:tcPr>
            <w:tcW w:w="800" w:type="dxa"/>
            <w:vAlign w:val="top"/>
          </w:tcPr>
          <w:p>
            <w:pPr>
              <w:pStyle w:val="4"/>
            </w:pPr>
          </w:p>
        </w:tc>
      </w:tr>
      <w:bookmarkEnd w:id="3"/>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pPr>
            <w:r>
              <w:rPr>
                <w:rFonts w:ascii="原版宋体" w:hAnsi="原版宋体" w:eastAsia="原版宋体" w:cs="原版宋体"/>
                <w:color w:val="000000"/>
                <w:sz w:val="20"/>
              </w:rPr>
              <w:t xml:space="preserve">    特此公告。</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江苏常熟农村商业银行股份有限公司</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13"/>
            <w:tcMar>
              <w:top w:w="0" w:type="dxa"/>
              <w:left w:w="0" w:type="dxa"/>
              <w:bottom w:w="0" w:type="dxa"/>
              <w:right w:w="0" w:type="dxa"/>
            </w:tcMar>
            <w:vAlign w:val="top"/>
          </w:tcPr>
          <w:p>
            <w:pPr>
              <w:spacing w:before="0" w:after="0" w:line="360" w:lineRule="auto"/>
              <w:jc w:val="right"/>
            </w:pPr>
            <w:r>
              <w:rPr>
                <w:rFonts w:ascii="原版宋体" w:hAnsi="原版宋体" w:eastAsia="原版宋体" w:cs="原版宋体"/>
                <w:color w:val="000000"/>
                <w:sz w:val="20"/>
              </w:rPr>
              <w:t>2026年04月01日</w:t>
            </w:r>
          </w:p>
        </w:tc>
        <w:tc>
          <w:p>
            <w:pPr>
              <w:pStyle w:val="4"/>
            </w:pPr>
          </w:p>
        </w:tc>
      </w:tr>
    </w:tbl>
    <w:p/>
    <w:sectPr>
      <w:pgSz w:w="13900" w:h="16860"/>
      <w:pgMar w:top="800" w:right="1200" w:bottom="440" w:left="12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原版宋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800"/>
  <w:compat>
    <w:useFELayout/>
    <w:splitPgBreakAndParaMark/>
    <w:compatSetting w:name="compatibilityMode" w:uri="http://schemas.microsoft.com/office/word" w:val="12"/>
  </w:compat>
  <w:rsids>
    <w:rsidRoot w:val="00000000"/>
    <w:rsid w:val="656677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Office_11.8.2.11813_F1E327BC-269C-435d-A152-05C5408002CA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2026-04-02T06:32:09Z</dcterms:created>
  <dc:creator>n</dc:creator>
  <cp:lastModifiedBy>n</cp:lastModifiedBy>
  <dcterms:modified xsi:type="dcterms:W3CDTF">2026-04-02T06:32:46Z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8C583BA1691545F590FB2192348F738C</vt:lpwstr>
  </property>
</Properties>
</file>